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c7e796afb648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專題報告三：少子化下的國際化挑戰—迎風鷹揚逆勢超越／國際事務副校長陳小雀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【111學年度教學與行政研討會特刊】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境外招生紅海一片的市場下，我們仍有成長空間，秉持校訓樸實剛毅信念，不管遇到多大困難都能迎刃而解。由三個層面剖析，先從現況分析下手，了解自身缺點，再逐一尋找解方與契機，達到淡江永續的國際品牌。
</w:t>
          <w:br/>
          <w:t>　就現況而言，本地生源減少，境外招生成為各校必爭之地，再加上受兩岸關係影響，陸生及澳生大幅減少，港生亦逐年下降，過去的榮景必然是無法再現。但國際交流如果可以做得好，透過姊妹交換制度、姊妹校夥伴關係，能提升國際形象，將可以減低少子化的衝擊。
</w:t>
          <w:br/>
          <w:t>從111學年度境外生人數統計，已知總人數相比去年減少26人，其中僑生增加11人、外國學生增加36人，但不敵陸生減少73人。這是一個警訊，但陸生人數降的速度太快了，所以外國學生是未來的重點。
</w:t>
          <w:br/>
          <w:t>　從境外生人數來源統計圖表可以得知，在111學年度印尼416人首度超越香港居於冠軍，香港413人次之，接續是馬來西亞134人、日本130人及中國大陸125人，由此可知，新南向國家境外生已是趨勢。值得一提的是，印尼雖是今年第一，但學生較去年減少35人，尚有進步的空間。
</w:t>
          <w:br/>
          <w:t>　觀察本學年度境外生就讀科系，境外生有75%是選擇全英文授課的專班，因此如果不增加英語授課，我們境外生人數將無法再提升。但我們近幾年全英語授課的學系都沒有增加，難怪我們外國學生人數無法提高，我們不能期望外國學生的中文程度，英文授課的重要性不言可喻。
</w:t>
          <w:br/>
          <w:t>　國際交流方面，本校有42國256所海外姊妹校，9國28校43項雙聯學位，與203所姊妹校進行交流，每年皆有約365名校級交換生。目前藉教育部優華語計畫、外交部台歐鏈結獎學金、夏日課程等，提升國際聲望，讓世界看見我們。
</w:t>
          <w:br/>
          <w:t>　由於人力及物力有限，境外生招生策略要朝「精準招生策略」邁進，分為地區、目標、專業、輔導四方面。「地區精準」即鎖定印尼、越南、泰國、印度、日本等南向和友好的國家；「目標精準」即透過在校生連結在校生的母校，進入校園招生，創造友好的關係，增加招生人數；「專業精準」即了解境外生想學的專業，增開英文專班，提高競爭力與吸引力，根據調查，金融、科技、管理、大眾傳播媒體是境外生熱門的科系，學校應儘快增設相關英文專班；「輔導精準」即是把學生顧好，讓國際生感受到校園即家的感受，用好口碑提高就學意願。
</w:t>
          <w:br/>
          <w:t>　在宣傳層面上，應重新製作文宣，把AI創智學院放進去，提供一條龍的思維，從就學到就業、校友經驗、留台工作諮詢，都是大亮點。善用資源並打造淡江品牌，推動學生接軌國際。只要全校一心，必能突破困境，永續發展。（文／林育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e4d7c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5e1db342-20f2-4196-a924-db93e480d33e.jpg"/>
                      <pic:cNvPicPr/>
                    </pic:nvPicPr>
                    <pic:blipFill>
                      <a:blip xmlns:r="http://schemas.openxmlformats.org/officeDocument/2006/relationships" r:embed="Rb1ddc2065c8b4a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1ddc2065c8b4a31" /></Relationships>
</file>