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e7971111f40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Smart Innovation Micro-Program to Cultivate Cross-Disciplinary Information Talents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Campus focus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To cultivate interdisciplinary talents with potential for intellectual innovation, equip students in non-information software engineering fields with backgrounds in artificial intelligence, digital technology, and software development, allowing them to possess problem-solving abilities in information technology, the university has received funding from the Ministry of Education’s “Smart Innovation Key Talent Project” to become a demonstration school for cultivating interdisciplinary talents with potential for intellectual innovation. Starting this semester, 2 micro-programs, “Multimedia and Human-Computer Interaction Technology and Applications” and “Commercial English Industry”, will be offered, taking the first step in talent cultivation.
</w:t>
          <w:br/>
          <w:t>The project, hosted by Vice President for Academic Affairs Hui-Huang Hsu, plans micro-programs with artificial intelligence and digital technology as the core. The courses include basic programming languages, practical applications, and industry internships, aiming to allow students to easily learn AI-related knowledge and meet future employment trends. The “Multimedia and Human-Computer Interaction Technology and Application” micro-program cultivates students’ ability to integrate AI, multimedia games, and communication technology through programming languages, multimedia technology, and AI training. The “Commercial English Industry” micro-program equips students with the ability to be employed in the industry through programming design, scenario-based teaching, commercial and AI technological English knowledge. Students don’t have to apply to take the above micro-courses, just complete the course selection process by themselves during the course selection period. After completing 11 credits of a single micro-program, students can apply for a certificate of completion. Fore more information, please refer to the website of the Department of Information and Communication.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408739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d765d12b-bd91-49ba-937b-588f8f7dbe25.jpg"/>
                      <pic:cNvPicPr/>
                    </pic:nvPicPr>
                    <pic:blipFill>
                      <a:blip xmlns:r="http://schemas.openxmlformats.org/officeDocument/2006/relationships" r:embed="R19fccd34ac6b4d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8144" cy="4821936"/>
              <wp:effectExtent l="0" t="0" r="0" b="0"/>
              <wp:docPr id="1" name="IMG_7492d0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87161334-33e1-4ca1-b409-470ea9782da6.jpg"/>
                      <pic:cNvPicPr/>
                    </pic:nvPicPr>
                    <pic:blipFill>
                      <a:blip xmlns:r="http://schemas.openxmlformats.org/officeDocument/2006/relationships" r:embed="Ree5325d9b4bc4d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144" cy="482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fccd34ac6b4d53" /><Relationship Type="http://schemas.openxmlformats.org/officeDocument/2006/relationships/image" Target="/media/image2.bin" Id="Ree5325d9b4bc4d18" /></Relationships>
</file>