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1e820b8a854d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President Keh Presides over the Fundraising Committee, Tamkang University Alumni Foundation in the United States Established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34th fundraising committee meeting of TKU was held on January 12 at Hsu Shou-Chlien International Conference Center, with synchronous video connection to the Taipei Campus. The meeting was presided over by President Huan-Chao Keh and awarded the 2022 academic year fundraising colored glaze thank-you medal, including 61 faculty members and staff who received awards for raising more than NT$1 million during the 2021 academic year, including Chairperson Flora Chia-I Chang. The meeting also set a fundraising target of NT$120 million for the 2023 academic year, and the newly established “Tamkang University Alumni Foundation in the United States” set a fundraising target of USD $20,000.
</w:t>
          <w:br/>
          <w:t>President Keh expressed his gratitude to all faculty and staff for their efforts in fundraising, as well as to the alumni for their enthusiastic support, which resulted in the fundraising target for the 2022 academic year being met. The total amount raised was NT$115.13 million. Although the overall fundraising goal was met, there is still a gap in the fundraising for the Hsu Shou-Chlien International Conference Center. President Keh emphasized that the center’s fundraising is a support for the school’s development, which should focus on “Sustainability” and “3-All Policy”. He hopes that in the future, alumni donations will not only be given to the Hsu Shou-Chlien Center but also to the Center for Sustainable Development and Social Innovation to help the school achieve its goal of zero carbon emission by 2050.
</w:t>
          <w:br/>
          <w:t>To continue promoting the fundraising project for the Hsu Shou-Chlien International Conference Center, the “brick donation” program will be ongoing. Departments are encouraged to hold celebratory events every 5 or 10 years, inviting alumni to participate and promote the fundraising project. Donors are also encouraged to agree to donate 5% of their donation as a maintenance fund for the conference center when filling out the donor information form. The fundraising goal for Hsu Shou-Chlien Center in 2023 is NT$ 10 million.</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34fe6c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67513cac-0a28-48c4-a7c6-59d091b43773.jpg"/>
                      <pic:cNvPicPr/>
                    </pic:nvPicPr>
                    <pic:blipFill>
                      <a:blip xmlns:r="http://schemas.openxmlformats.org/officeDocument/2006/relationships" r:embed="R93326516b81c41e7"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9b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5be96d6b-29f8-4b5e-8f87-e9be16bf8252.jpg"/>
                      <pic:cNvPicPr/>
                    </pic:nvPicPr>
                    <pic:blipFill>
                      <a:blip xmlns:r="http://schemas.openxmlformats.org/officeDocument/2006/relationships" r:embed="R19aba6cfcc5f41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c33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0a125d66-4713-41de-89af-4eeb64dea3b0.jpg"/>
                      <pic:cNvPicPr/>
                    </pic:nvPicPr>
                    <pic:blipFill>
                      <a:blip xmlns:r="http://schemas.openxmlformats.org/officeDocument/2006/relationships" r:embed="Re504fcf640ad438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326516b81c41e7" /><Relationship Type="http://schemas.openxmlformats.org/officeDocument/2006/relationships/image" Target="/media/image2.bin" Id="R19aba6cfcc5f417f" /><Relationship Type="http://schemas.openxmlformats.org/officeDocument/2006/relationships/image" Target="/media/image3.bin" Id="Re504fcf640ad4389" /></Relationships>
</file>