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8a13c50660546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1159 期</w:t>
        </w:r>
      </w:r>
    </w:p>
    <w:p>
      <w:pPr>
        <w:jc w:val="center"/>
      </w:pPr>
      <w:r>
        <w:r>
          <w:rPr>
            <w:rFonts w:ascii="Segoe UI" w:hAnsi="Segoe UI" w:eastAsia="Segoe UI"/>
            <w:sz w:val="32"/>
            <w:color w:val="000000"/>
            <w:b/>
          </w:rPr>
          <w:t>Learning Innovation Achievement Exhibition Sharing Innovation Course Teaching Results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Center for Sustainable Development and Social Innovation held the "Cultivating Sustainable Strength: Embarking on a New Journey of Humanities and Social Sciences Education - Learning Innovation Achievement Exhibition 2022" at the Black Swan Exhibition Room from March 1st to March 3rd. The opening ceremony was held at 12:00 pm on March 1st, and nearly 40 faculty members, staff, and students, including Vice President for Academic Affairs Hui-Huang Hsu, Vice President for Administrative Affairs Chun-Hung Lin, Vice President for International Affairs Hsiao-Chuan Chen, Secretary-General Ay-Hwa Liou, and first and second-level supervisors attended the event. The lobby of the building of Foreign Languages simultaneously exhibited the teaching achievements of the "Introduction to Western Literature" course offered by the Department of English.
</w:t>
          <w:br/>
          <w:t>First of all, Dr. Hui-Huang Hsu expressed gratitude to the colleagues who participated in the implementation of the " Competency-Based Higher Education Learning Innovation Project" for their enthusiastic participation and efforts over the past year, which resulted in excellent evaluations from the MOE's General Office. He then introduced that the project aims to cultivate sustainable power, hoping to strengthen students' awareness of SDGs and respond to the school's development goal of "AI+SDGs=∞", while cultivating the ability to explore and learn independently, which is in line with the concept of the 108 Curriculum Guidelines. Finally, he emphasized that future students will be different from the past, and he hoped that this project will initiate changes in education at the university level. Through mutual observation and learning from the achievement exhibition, it is expected that the sustainability of Tamkang University will be further improved.
</w:t>
          <w:br/>
          <w:t>The Dean of the College of International Affairs, Dr. Cheng-Hao Pao, mentioned that the current project focuses on typical courses and is aimed to expand to the entire college. The goal of the project is to become a significant part of the school's teaching and attract more attention and resources. The Dean of Academic Affairs, Dr. Tzong-Ru Tsai, added that the project focuses on the use of technology in the humanities and social sciences. It also aligns with the Office of Academic Affairs promoting interdisciplinary learning, STEAM, and self-directed learning in non-information or non-science and engineering fields in the next stage. In the future, the project will gradually move from general education to specialized courses in the college, allowing more students to participate in interdisciplinary learning. This approach also aligns with the cultivation direction of the 108 curriculum's "developing strengths according to aptitude" principle. After the opening ceremony, Dr. Rui-Mao Huang, the head of the Social Practice Strategy Section, led everyone on a tour to view the innovation courses offered by various colleges and departments.
</w:t>
          <w:br/>
          <w:t>In addition to the innovation curriculum achievements, a series of activities were arranged, such as "Communication Workshops", a workshop on "Exploring the Teaching and Learning of Sustainable Courses" on March 2nd, and a workshop on "Teaching and Learning of Competency-based Courses" on March 3rd. The workshops aimed to share the teaching achievements of sustainable courses and competency-based courses in each college. There was also an "SDGs Tamkang-Tamsui Guide Workshop" that invited teachers from the school's competency project, USR project, and general education core curriculum, as well as teachers and partners interested in participating in the Tamsui area. Using "Tamkang-Tamsui University City" as a practical field under the framework of urban development, they jointly considered practical actions to achieve SDGs.</w:t>
          <w:br/>
        </w:r>
      </w:r>
    </w:p>
    <w:p>
      <w:pPr>
        <w:jc w:val="center"/>
      </w:pPr>
      <w:r>
        <w:r>
          <w:drawing>
            <wp:inline xmlns:wp14="http://schemas.microsoft.com/office/word/2010/wordprocessingDrawing" xmlns:wp="http://schemas.openxmlformats.org/drawingml/2006/wordprocessingDrawing" distT="0" distB="0" distL="0" distR="0" wp14:editId="50D07946">
              <wp:extent cx="4876800" cy="3127248"/>
              <wp:effectExtent l="0" t="0" r="0" b="0"/>
              <wp:docPr id="1" name="IMG_921e1a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054b8062-7378-458d-8d2d-44c87d61dd0d.jpg"/>
                      <pic:cNvPicPr/>
                    </pic:nvPicPr>
                    <pic:blipFill>
                      <a:blip xmlns:r="http://schemas.openxmlformats.org/officeDocument/2006/relationships" r:embed="R01ba3f0f710d4d7c" cstate="print">
                        <a:extLst>
                          <a:ext uri="{28A0092B-C50C-407E-A947-70E740481C1C}"/>
                        </a:extLst>
                      </a:blip>
                      <a:stretch>
                        <a:fillRect/>
                      </a:stretch>
                    </pic:blipFill>
                    <pic:spPr>
                      <a:xfrm>
                        <a:off x="0" y="0"/>
                        <a:ext cx="4876800" cy="31272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552ac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b701af88-1e54-4e58-8378-97ebf2c89c05.jpg"/>
                      <pic:cNvPicPr/>
                    </pic:nvPicPr>
                    <pic:blipFill>
                      <a:blip xmlns:r="http://schemas.openxmlformats.org/officeDocument/2006/relationships" r:embed="R5cc1b93a96a5449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1ba3f0f710d4d7c" /><Relationship Type="http://schemas.openxmlformats.org/officeDocument/2006/relationships/image" Target="/media/image2.bin" Id="R5cc1b93a96a5449a" /></Relationships>
</file>