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c6341869a54f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TKU Leaps, Ranking Globally between 201 - 300 in the THE Impact Rankings 2023</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June 1st, the Times Higher Education (THE), a publication from the United Kingdom, released the "Impact Rankings 2023". A total of 1,591 universities participated in the rankings. Tamkang University improved significantly from the previous year, moving up from the 301-400 range to the 201-300 range in the global rankings. In terms of domestic rankings, we climbed from the 10th position to the 6th position.
</w:t>
          <w:br/>
          <w:t>In terms of individual SDGs, our university has 3 SDGs ranked within the top 100 globally, SDG7, "Affordable and Clean Energy," ranked 25th (21st last year), SDG6, "Clean Water and Sanitation," 27th (69th last year), and SDG4, "Quality Education", 59th (101-200th last year). Furthermore, our university has made the most significant improvement in the ranking performance for SDG17, "Partnerships for the Goals," moving up to the 101-200 range globally (601-800th last year).
</w:t>
          <w:br/>
          <w:t>SDG17, "Partnerships for the Goals", has significantly jumped in ranking and has the highest score among the 7 SDGs of our university. This demonstrates Tamkang's successful efforts in promoting professional knowledge and service learning, engaging in USR projects, and collaborating with domestic and international industry, government, and academia to establish diverse partnerships. In 2021, Tamkang conducted 7 USR projects, leading students from classroom to engage in community activities such as food and agriculture education, eco-friendly Tamsui-Yilan tourism, and collaborating with regional government agencies and NGOs in initiatives such as smart urban-rural development and multimedia promotion. All of these initiatives have achieved remarkable results.
</w:t>
          <w:br/>
          <w:t>President Huan-Chao Keh stated that in order to demonstrate the university's commitment to promoting sustainable actions, the university registered the trademark "AI+SDGs=∞" with the Intellectual Property Office of the Ministry of Economic Affairs last year, and will also register "ESG+AI=∞" in the future and vigorously promote it to the faculty, students, and external stakeholders. He pointed out that in the direction of promoting "AI+SDGs=∞" in school affairs, AI and SDGs have a "mutually reinforcing" effect. "AI can accelerate and enhance the implementation of SDGs, while the pursuit of SDGs can drive the application of AI, broadening and deepening its use in teaching, research, and industry-academia collaborations." He emphasized that this will be Tamkang University's distinctive feature and the key to achieving impressive results in the field of ESG sustainability.
</w:t>
          <w:br/>
          <w:t>He also mentioned that Tamkang had achieved outstanding results in domestic sustainability awards last year, which once again demonstrates TKU's efforts and recognition in the field of sustainability. In addition to the Gold Prize in the inaugural APSAA Asia-Pacific Sustainability Action Awards and the Gold Award in the 15th TCSA Taiwan Corporate Sustainability Awards for the "University Sustainability Report", we were also honored with the Gold Award of the 2022 Ministry of Economic Affairs Energy Efficiency Benchmarking Awards in last December. The Center for University Social Responsibility, MOE announced the approval list for the 3rd phase (2023-2024) of USR projects last month, and all 5 projects of our university were approved.</w:t>
          <w:br/>
        </w:r>
      </w:r>
    </w:p>
    <w:p>
      <w:pPr>
        <w:jc w:val="center"/>
      </w:pPr>
      <w:r>
        <w:r>
          <w:drawing>
            <wp:inline xmlns:wp14="http://schemas.microsoft.com/office/word/2010/wordprocessingDrawing" xmlns:wp="http://schemas.openxmlformats.org/drawingml/2006/wordprocessingDrawing" distT="0" distB="0" distL="0" distR="0" wp14:editId="50D07946">
              <wp:extent cx="4876800" cy="2298192"/>
              <wp:effectExtent l="0" t="0" r="0" b="0"/>
              <wp:docPr id="1" name="IMG_a9c3e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fa7a3cdd-4819-4559-bdb6-3154d3f78d49.JPG"/>
                      <pic:cNvPicPr/>
                    </pic:nvPicPr>
                    <pic:blipFill>
                      <a:blip xmlns:r="http://schemas.openxmlformats.org/officeDocument/2006/relationships" r:embed="R0e0fcc125c1441df" cstate="print">
                        <a:extLst>
                          <a:ext uri="{28A0092B-C50C-407E-A947-70E740481C1C}"/>
                        </a:extLst>
                      </a:blip>
                      <a:stretch>
                        <a:fillRect/>
                      </a:stretch>
                    </pic:blipFill>
                    <pic:spPr>
                      <a:xfrm>
                        <a:off x="0" y="0"/>
                        <a:ext cx="4876800" cy="2298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0fcc125c1441df" /></Relationships>
</file>