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e332a113d49443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1173 期</w:t>
        </w:r>
      </w:r>
    </w:p>
    <w:p>
      <w:pPr>
        <w:jc w:val="center"/>
      </w:pPr>
      <w:r>
        <w:r>
          <w:rPr>
            <w:rFonts w:ascii="Segoe UI" w:hAnsi="Segoe UI" w:eastAsia="Segoe UI"/>
            <w:sz w:val="32"/>
            <w:color w:val="000000"/>
            <w:b/>
          </w:rPr>
          <w:t>TKU Awarded the New Taipei City Low Carbon Campus Silver Goose Badge</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Tamkang’s efforts in promoting a low-carbon campus have once again been recognized. For the first time, in 2023, we participated in the “New Taipei City Low Carbon Campus Certification” organized by the Environmental Protection Department of the New Taipei City Government. After on-site inspections by the review committee, we were awarded the “Silver Goose Badge.” On the morning of November 13, at the New Taipei City Government Auditorium, Mr. Chun-Hao Chiu, representing the Environmental Safety Center of our university, accepted the award from Commissioner Da-Wei Cheng of the Environmental Protection department.
</w:t>
          <w:br/>
          <w:t>The New Taipei City Low Carbon Campus Certification evaluates 6 major aspects: “Green Buildings,” “Green Energy,” “Circular Resources,” “Green Transportation,” “Sustainable Living Environment,” and “Innovation Initiatives.” This year, a new indicator, the “Carbon Footprint Verification Mechanism,” has been added. It encourages schools to conduct independent assessments of energy use, carbon emissions, energy-saving measures, and carbon sequestration within the campus. This allows schools to understand greenhouse gas emissions, formulate relevant carbon reduction plans, and achieve the goal of carbon neutrality on campus.
</w:t>
          <w:br/>
          <w:t>Dean of General Affairs and Director of the Environmental Safety Center, Dr. Ruey-Shiang Shaw, explained that the evaluation criteria and indicators for the Low Carbon Campus Certification are based on the long-term energy-saving and carbon reduction strategies implemented by our school. Unlike the Ministry of Economic Affairs (MOEA)'s Energy Saving Benchmark Award, which focuses solely on assessing energy efficiency, participation in this certification allows for an overall examination of the campus's low-carbon initiatives. Winning the Silver Goose Award in our first participation indicates that there is much room for continued deepening of carbon reduction efforts in the future. This includes experimenting with technologies related to campus carbon sequestration and negative carbon emissions. We will collaborate with teachers with expertise from various fields, corporate groups, and especially welcome alumni companies to work together in accelerating the realization of the goal of ESG+AI=∞.
</w:t>
          <w:br/>
          <w:t>Despite receiving recognition with the Gold Medal of the Energy Saving Benchmark Award from MOEA last year, our school continues to promote energy conservation. Since the activation of the solar photovoltaic system at the Tamsui campus in 2021, the General Affairs Office has maintained an ongoing collaboration with the alumni company, Sinbon Electronics. Solar photovoltaic systems have been continuously installed on various campuses. The Taipei campus and the Lanyang campus were completed in March and October 2023, supplying 99.9KW and 99KW, respectively. In late October of the same year, an additional rooftop system was installed at the Tamsui campus administrative building, providing 19.8KW. Currently, there are 5 solar photovoltaic fields with a total capacity of 761.22kW, resulting in a reduction of over 650 metric tons of carbon dioxide equivalent emissions. Dr. Shaw mentioned that there are plans to expand the scope of green energy within the campus. The school also welcomes support from alumni and industry partners in the green energy sector, working together towards achieving a net-zero campus.</w:t>
          <w:br/>
        </w:r>
      </w:r>
    </w:p>
    <w:p>
      <w:pPr>
        <w:jc w:val="center"/>
      </w:pPr>
      <w:r>
        <w:r>
          <w:drawing>
            <wp:inline xmlns:wp14="http://schemas.microsoft.com/office/word/2010/wordprocessingDrawing" xmlns:wp="http://schemas.openxmlformats.org/drawingml/2006/wordprocessingDrawing" distT="0" distB="0" distL="0" distR="0" wp14:editId="50D07946">
              <wp:extent cx="4876800" cy="3243072"/>
              <wp:effectExtent l="0" t="0" r="0" b="0"/>
              <wp:docPr id="1" name="IMG_e09eef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5d5f861c-1ba2-4606-928c-28ce399f8506.jpg"/>
                      <pic:cNvPicPr/>
                    </pic:nvPicPr>
                    <pic:blipFill>
                      <a:blip xmlns:r="http://schemas.openxmlformats.org/officeDocument/2006/relationships" r:embed="Rae74f4e7248b4609" cstate="print">
                        <a:extLst>
                          <a:ext uri="{28A0092B-C50C-407E-A947-70E740481C1C}"/>
                        </a:extLst>
                      </a:blip>
                      <a:stretch>
                        <a:fillRect/>
                      </a:stretch>
                    </pic:blipFill>
                    <pic:spPr>
                      <a:xfrm>
                        <a:off x="0" y="0"/>
                        <a:ext cx="4876800" cy="3243072"/>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2944368"/>
              <wp:effectExtent l="0" t="0" r="0" b="0"/>
              <wp:docPr id="1" name="IMG_c8410e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3-11/m\08d01939-9283-4ec2-8ad1-34baebe4dd9e.jpg"/>
                      <pic:cNvPicPr/>
                    </pic:nvPicPr>
                    <pic:blipFill>
                      <a:blip xmlns:r="http://schemas.openxmlformats.org/officeDocument/2006/relationships" r:embed="R650b5a44da9d47fc" cstate="print">
                        <a:extLst>
                          <a:ext uri="{28A0092B-C50C-407E-A947-70E740481C1C}"/>
                        </a:extLst>
                      </a:blip>
                      <a:stretch>
                        <a:fillRect/>
                      </a:stretch>
                    </pic:blipFill>
                    <pic:spPr>
                      <a:xfrm>
                        <a:off x="0" y="0"/>
                        <a:ext cx="4876800" cy="29443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e74f4e7248b4609" /><Relationship Type="http://schemas.openxmlformats.org/officeDocument/2006/relationships/image" Target="/media/image2.bin" Id="R650b5a44da9d47fc" /></Relationships>
</file>