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740f6f38104c1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【112學年度教學與行政革新研討會特刊】董事長張家宜 開幕致詞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112學年度教學與行政革新研討會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教學與行政革新研討會是本校非常重要的傳統，這次主題探討永續議題，首先透過時間軸，瞭解聯合國及本校推動永續發展之脈絡，接著介紹聯合國教科文組織的未來素養，最後說明淡江打造全雲端智慧校園2.0的各項永續作為。
</w:t>
          <w:br/>
          <w:t>　自1983年聯合國正式召開世界環境與發展委員會便積極推動「永續發展」，1987年發表《我們共同的未來》的《布倫特蘭報告》，永續發展為全球共識起點。淡江也自1993年起導入「全面品質管理」，1996年設置「環境保護委員會」，2003年導入ISO 14001環境管理系統，2013年推動節能減碳，2015年通過ISO 50001能源管理系統，2022年打造「5G元宇宙淨零碳排校園」全雲端校園， 2023年「AI+SDGs=∞」取得經濟部智慧財產局的註冊商標。
</w:t>
          <w:br/>
          <w:t>　淡江的未來學通識課程，讓淡江人擁有基本概念，在此，再深入說明未來基本涵養（Futures Literacy）。未來（Future）其實就是一種素養（Literacy），是我們每天生活上都會使用到的工具，有未來基本涵養，能使我們更有想像力及能力，去處理未來改變的事，本校設有AI創智學院和永續發展與社會創新中心，綜理大學社會責任與永續發展，接續工作是思考未來學與永續關聯性，落實永續教育。
</w:t>
          <w:br/>
          <w:t>　最後，介紹「5000天後的世界」這本書，全球資訊網在1993年開放的5000天，大約是13年左右的時間內，資訊交流呈現全新樣貌。以現在不可或缺的手機為例，5000天已改變我們的生活模式，各位可以思考，我們的未來會是什麼樣的世界？未來的我們會受擴增實境(AR)、虛擬實境(VR)、混合實境(MR)等鏡像世界影響，在未來的5000天，期望能用永續及未來觀共同努力，祝今天的研討會順利成功。（整理／陳子涵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486656"/>
              <wp:effectExtent l="0" t="0" r="0" b="0"/>
              <wp:docPr id="1" name="IMG_8f51e20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99299cf3-8f65-4e5c-9ba1-d66fbc04b7d8.jpg"/>
                      <pic:cNvPicPr/>
                    </pic:nvPicPr>
                    <pic:blipFill>
                      <a:blip xmlns:r="http://schemas.openxmlformats.org/officeDocument/2006/relationships" r:embed="R4502d41aaa06485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4866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502d41aaa064858" /></Relationships>
</file>