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54e00a76141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【112學年度教學與行政革新研討會特刊】專題演講二：淨零轉型之人才培育、科技研發與生活實驗／學術副校長許輝煌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112學年度教學與行政革新研討會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許輝煌指出，中華民國宣示在2050年要完成淨零碳排，達到碳中和的目標，從國家長期減量路徑規劃來看，溫管法期望排放量在2050年達到低於攝氏1.5度，本校在大學社會責任上，推動碳中和藍圖「建校100年、淨零校園」，落實2050年達成校園碳中和，符合環境保護、社會責任以及大學治理。
</w:t>
          <w:br/>
          <w:t>　本校在USR社會面上表現得不錯，當國家在推動淨零碳排時，不是只有企業，學校也要走在前頭，歐盟於2023年10月試行碳邊境調整機制，要求進口商提交碳排放相關數據，本校歐盟中心與學校合作出版歐盟綠色供應鏈法，另外也正在進行美國清潔競爭法案(Clean Competition Act)，從實際利益來看，如果淡江無法達到碳中和，未來需要支付每噸約55美元之碳稅，之後隨著通貨膨脹率，每噸可能逼近100美元。
</w:t>
          <w:br/>
          <w:t>　天下文化出版的《目的與獲利》提到，目的與獲利並不衝突，反而能幫助企業發展、增加影響力，同樣的道理，本校在推動淨零碳排、ESG永續發展時，幫助學校永續發展，長遠來看是必走的路。近期加入ESG與USR整合平台「遠見ESG共好圈」，與企業和其他大學一起共同宣導，讓本校成為永續卓越的大學。
</w:t>
          <w:br/>
          <w:t>　在面對淨零轉型上，淡江開設相關課程目前參與的教師太少、進度太慢，可以參考學習台大、中原、逢甲、元智及輔大的相關課程，另外，本校在學生大一時開設必修課，將永續融入課程及微學程，例如永續發展與社會創新中心所開設的探索永續課程，推廣教育處的永續發展碳管理等......需要更多教師團隊投入，開設更多導入淨零觀念的課程。
</w:t>
          <w:br/>
          <w:t>　我國在淨零科技方案的策略上，分成低碳、循環、負碳、社會科學以及永續能源，其中社會科學扮演重要角色，需要評估淨零政策效益跟調適與在地規劃，因此本校不論在人才培育、校內外推廣、企業合作、科技研發及企劃案上，都希望更多教師能共組團隊合作，開設更多課程、研究相關技術、了解最新發展趨勢，來帶動產學合作。
</w:t>
          <w:br/>
          <w:t>　淨零碳排無法單靠科技產業，需要全民對話來實現，「生活實驗室」以校園作為生活轉型的實驗室，我們也以此設計成立了一個工作坊，利用校園做一個場域，來促進創新、都市永續發展，讓所有人都能共同創作。（整理／陳子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29328"/>
              <wp:effectExtent l="0" t="0" r="0" b="0"/>
              <wp:docPr id="1" name="IMG_13b928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2b8970e-c913-436e-952a-f251aad33641.jpg"/>
                      <pic:cNvPicPr/>
                    </pic:nvPicPr>
                    <pic:blipFill>
                      <a:blip xmlns:r="http://schemas.openxmlformats.org/officeDocument/2006/relationships" r:embed="Rc275b3ae3f6f41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2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75b3ae3f6f419c" /></Relationships>
</file>