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673d49ee7d942d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1174 期</w:t>
        </w:r>
      </w:r>
    </w:p>
    <w:p>
      <w:pPr>
        <w:jc w:val="center"/>
      </w:pPr>
      <w:r>
        <w:r>
          <w:rPr>
            <w:rFonts w:ascii="Segoe UI" w:hAnsi="Segoe UI" w:eastAsia="Segoe UI"/>
            <w:sz w:val="32"/>
            <w:color w:val="000000"/>
            <w:b/>
          </w:rPr>
          <w:t>President Keh Awarded the National Sustainable Development Award</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Our school was honored with the National Sustainable Development Award in the Education category by the National Council for Sustainable Development of the Executive Yuan in 2023. On November 30, President Huan-Chao Keh attended the award ceremony at the NTUH International Convention Center, where he received the trophy from Dr. Chien-Jen Chen, Director of the National Council for Sustainable Development of the Executive Yuan and Premier of the Executive Yuan. Academic Vice President and Director of Sustainable Development and Social Innovation Hui-Huang Hsu, Chief Audit Executive Yen-Ling Lin, Dean of General Affairs Ruey-Shiang Shaw, and Chief Information Officer Chin-Hwa Kuo accompanied the ceremony.
</w:t>
          <w:br/>
          <w:t>President Keh expressed gratitude for the efforts of colleagues and the technical support from Microsoft Taiwan and Far EasTone Telecommunications. He mentioned that since 2008, the school has been promoting the "Four Conservation Project" (conserving water, fuel, electricity, and paper), and has implemented an energy management system, actively promoting energy conservation on campus with remarkable results. In recent years, the school has adopted "AI+SDGs=∞" as its vision for university development, driving digital and net-zero transformation. Through the acceleration and synergy of AI, the school is actively contributing to the practical implementation of Sustainable Development Goals (SDGs). The combination of AI and SDGs deepens and broadens the service and application of AI. This mutual support has led to significant achievements in both improving information capabilities and constructing a sustainable campus. The school has not only made a substantial leap in THE World University Impact Rankings but has also received recognition from the Ministry of Economic Affairs with the Energy Benchmark Award and the Asia-Pacific and TCSA Taiwan Sustainable Action Award.
</w:t>
          <w:br/>
          <w:t>In addition to continuously developing a sustainable campus, the school further outlines the vision of ESG+AI=∞. Starting from the academic year 2022, the school has introduced distinctive "Dual Towers" courses in AI and sustainability, offering one-credit general education courses titled "AI and Programming Languages" and "Exploring Sustainability." These courses complement the "Cultivating Sustainability" curriculum of the "Competency-based Higher Education Learning Innovation Project." President Keh hopes to nurture students' interdisciplinary competence in "AI and Sustainability," not only enhancing their competitiveness upon graduation but also aiming to contribute back to society by becoming seeds that drive sustainability initiatives.</w:t>
          <w:br/>
        </w:r>
      </w:r>
    </w:p>
    <w:p>
      <w:pPr>
        <w:jc w:val="center"/>
      </w:pPr>
      <w:r>
        <w:r>
          <w:drawing>
            <wp:inline xmlns:wp14="http://schemas.microsoft.com/office/word/2010/wordprocessingDrawing" xmlns:wp="http://schemas.openxmlformats.org/drawingml/2006/wordprocessingDrawing" distT="0" distB="0" distL="0" distR="0" wp14:editId="50D07946">
              <wp:extent cx="4876800" cy="3486912"/>
              <wp:effectExtent l="0" t="0" r="0" b="0"/>
              <wp:docPr id="1" name="IMG_53a18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1/m\a9586245-a090-45ec-a5ce-b6db05927da5.jpg"/>
                      <pic:cNvPicPr/>
                    </pic:nvPicPr>
                    <pic:blipFill>
                      <a:blip xmlns:r="http://schemas.openxmlformats.org/officeDocument/2006/relationships" r:embed="Rb482df6218ee4e2a" cstate="print">
                        <a:extLst>
                          <a:ext uri="{28A0092B-C50C-407E-A947-70E740481C1C}"/>
                        </a:extLst>
                      </a:blip>
                      <a:stretch>
                        <a:fillRect/>
                      </a:stretch>
                    </pic:blipFill>
                    <pic:spPr>
                      <a:xfrm>
                        <a:off x="0" y="0"/>
                        <a:ext cx="4876800" cy="348691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da7844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02cedc03-2531-4bbc-bed0-1faf71bbd9db.jpg"/>
                      <pic:cNvPicPr/>
                    </pic:nvPicPr>
                    <pic:blipFill>
                      <a:blip xmlns:r="http://schemas.openxmlformats.org/officeDocument/2006/relationships" r:embed="Rd480eb88c5634983"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482df6218ee4e2a" /><Relationship Type="http://schemas.openxmlformats.org/officeDocument/2006/relationships/image" Target="/media/image2.bin" Id="Rd480eb88c5634983" /></Relationships>
</file>