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8202fc8c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112學年度教師研究獎勵總金額近2000萬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日前公告112學年度教師研究獎勵名單，包含學術期刊論文、學術性專書、研發成果授權或移轉、Scopus資料庫收錄之學術期刊論文、研討會論文或學術性專書之被引用次數、創作展演及體育競賽5個項目，總金額1,979萬7,990元，
</w:t>
          <w:br/>
          <w:t>本次學術期刊論文共獎勵155位教師432篇論文，總金額1,825萬3,800元，其中SCI及SSCI收錄373篇、A&amp;HCI收錄1篇、ESCI收錄23篇、THCI、TSSCI收錄32篇，本校期刊收錄3篇，其中與國際學者共同發表139篇；學術性專書通過11件11人，總獎勵金額44萬3,000元；Scopus資料庫收錄之學術期刊論文、研討會論文或學術性專書之被引用次數被引用次數56件23人，總獎勵84萬2,000元；創作展演及體育競賽11件6人，創作展演縣市政府級5件、體育競賽國家級6件，總奬勵23萬7,600元；研發成果授權或移轉件數3件2人，補助總金額2萬1,590元。
</w:t>
          <w:br/>
          <w:t>本次獲得學術期刊論文獎勵的教師，不少列名在10月發佈的全球前2%頂尖科學家榜單（World’s Top 2% Scientists）「終身科學影響力排行榜（1960-2022）」及「2022年度科學影響力排行榜」之中，包括數學系郭忠勝、張玉坤、物理系李明憲、化學系王三郎、建築系姚忠達、土木系葉怡成、水環系張麗秋、化材系何啟東、余宣賦、電機系許駿飛、丘建青、國企系孫嘉祈、企管系吳坤山、會計系方郁惠、統計系張春桃、資管系鄭啟斌、管科系廖述賢、曹銳勤、教科系王怡萱，顯示獲獎教師研究能量的豐沛，及研究內容的影響力。
</w:t>
          <w:br/>
          <w:t>校長葛煥昭多次在校內重要會議中宣示，本校對於教師研究，持續「以獎勵代替補助」，提升教師在學術研究方面的能量，未來規劃提供更多獎勵，同時鼓勵教師們從事跨領域的教學、研究與產學合作。</w:t>
          <w:br/>
        </w:r>
      </w:r>
    </w:p>
  </w:body>
</w:document>
</file>