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a9dd6f6f8a465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1185 期</w:t>
        </w:r>
      </w:r>
    </w:p>
    <w:p>
      <w:pPr>
        <w:jc w:val="center"/>
      </w:pPr>
      <w:r>
        <w:r>
          <w:rPr>
            <w:rFonts w:ascii="Segoe UI" w:hAnsi="Segoe UI" w:eastAsia="Segoe UI"/>
            <w:sz w:val="32"/>
            <w:color w:val="000000"/>
            <w:b/>
          </w:rPr>
          <w:t>Tamkang University Collaborates on AI, Co-hosting Jensen Huang's Lecture, Garnering Attention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June 2, NVIDIA founder Jensen Huang delivered a speech on "The Impact of Generative AI Development" at National Taiwan University. The backdrop displayed a list of partner supply chain companies and schools. Tamkang University's “Simplicity, Truthfulness, Firmness, Perseverance” emblem prominently featured in the center, continuously appearing next to Huang, sparking discussions. Tamkang University President Huan-Chao Keh stated that Tamkang has been deeply involved in the AI field, continuously cooperating with the "Taiwan AI Alliance" to organize courses, international certification guidance, and competitions: "The 'AI+ talents' we cultivate will be strong contributors to Taiwan's development in the global AI industry!"
</w:t>
          <w:br/>
          <w:t>The Taipei Computer Association, which has co-organized schools, including Tamkang University, National Taipei University of Technology, and National Taiwan Normal University, organized this event. Yesterday’s backdrop featured major supply chain companies such as TSMC, Foxconn, and Quanta. The Tamkang University emblem was positioned on the backdrop to the right of Jensen Huang. In close-up shots, it appeared as if the speech was held at Tamkang University. Everyone is curious if Tamkang got the central spot because they sponsored the event.
</w:t>
          <w:br/>
          <w:t>Tamkang University responded, expressing deep gratitude for NVIDIA's support. This recognition is because Tamkang's Artificial Innovative Intelligence College is the only university member invited to join the "Taiwan AI Alliance" and serves as a co-organizer. The "Taiwan AI Alliance" is an institution guided by the Ministry of Digital Affairs, hosted by the Administration for Digital Industries, and established by the Taipei Computer Association. Since joining, the Artificial Innovative Intelligence College has actively co-organized events such as the "2023 Asia-Pacific Social Innovation Summit" and the "Tamkang Cup Nvidia Jetbot AI Road Recognition Competition."
</w:t>
          <w:br/>
          <w:t>Since its establishment in 2020, Tamkang University's Artificial Innovative Intelligence College has collaborated with 30 top partner companies and academic research institutions, such as Microsoft Taiwan, Far EasTone, and WIN Semiconductors Corp., to stay abreast of technological trends and identify industry needs. The Artificial Innovative Intelligence College has integrated micro-credit courses within the university, offering Microsoft online courses and AI hands-on experience workshops. To date, nearly 6,000 students from various departments have taken AI courses. Additionally, the college has held AI international certification workshops, assisting over 1,200 faculty and students from different departments in obtaining AI international certifications from Microsoft, Nvidia, and others. Over the past 3 years, more than 20,000 people have experienced, participated in, and received certifications through these diverse activities, paving the way for AI+ talent development.
</w:t>
          <w:br/>
          <w:t>Tamkang University is the first private higher education institution in Taiwan. Over its 73-year history, it has produced over 310,000 alums and continues to promote the "Triple Objectives of Education": Globalization, Information-Oriented Education, and Future-oriented Education. Regarding "Globalization," Tamkang was the first in Taiwan to establish an electronic computer science department and is renowned for its flawless handling of computer-based grading for the college entrance examination for many years. With the rise of artificial intelligence worldwide, starting from the 2022 academic year, Tamkang has planned unique 1-credit general education courses, "Exploring Sustainability" and "AI and Programming Languages." AI has also been made a mandatory general education course for first-year students. In line with digital transformation, Tamkang University has collaborated with Microsoft to create the "All-Cloud Smart Campus 2.0." Multiple campus-wide competitions have showcased MS 3AP application results, encouraging the integration of AI across various disciplines and leading to innovations in curriculum and administration. The upcoming graduation ceremony on June 8 will be themed "Leading with AI: Net Zero Sustainability and Industry's Favorite," fully committed to cultivating "AI+ talent."</w:t>
          <w:br/>
        </w:r>
      </w:r>
    </w:p>
    <w:p>
      <w:pPr>
        <w:jc w:val="center"/>
      </w:pPr>
      <w:r>
        <w:r>
          <w:drawing>
            <wp:inline xmlns:wp14="http://schemas.microsoft.com/office/word/2010/wordprocessingDrawing" xmlns:wp="http://schemas.openxmlformats.org/drawingml/2006/wordprocessingDrawing" distT="0" distB="0" distL="0" distR="0" wp14:editId="50D07946">
              <wp:extent cx="2231136" cy="4876800"/>
              <wp:effectExtent l="0" t="0" r="0" b="0"/>
              <wp:docPr id="1" name="IMG_673ed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c7dacbbe-251b-49a9-97e8-827cf6e949e4.jpg"/>
                      <pic:cNvPicPr/>
                    </pic:nvPicPr>
                    <pic:blipFill>
                      <a:blip xmlns:r="http://schemas.openxmlformats.org/officeDocument/2006/relationships" r:embed="Rc6f569d2943144b6" cstate="print">
                        <a:extLst>
                          <a:ext uri="{28A0092B-C50C-407E-A947-70E740481C1C}"/>
                        </a:extLst>
                      </a:blip>
                      <a:stretch>
                        <a:fillRect/>
                      </a:stretch>
                    </pic:blipFill>
                    <pic:spPr>
                      <a:xfrm>
                        <a:off x="0" y="0"/>
                        <a:ext cx="2231136"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6f569d2943144b6" /></Relationships>
</file>