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b4c3068f7e41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1189 期</w:t>
        </w:r>
      </w:r>
    </w:p>
    <w:p>
      <w:pPr>
        <w:jc w:val="center"/>
      </w:pPr>
      <w:r>
        <w:r>
          <w:rPr>
            <w:rFonts w:ascii="Segoe UI" w:hAnsi="Segoe UI" w:eastAsia="Segoe UI"/>
            <w:sz w:val="32"/>
            <w:color w:val="000000"/>
            <w:b/>
          </w:rPr>
          <w:t>教育部結合7大學規劃AI專班 本校著眼AI+SDGsX數位永續</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為提升教育創新的動能、包容性、多樣性，同時更具領導力及未來力，教育部素養導向高教學習創新（XPlorer探索者）計畫特別結合本校、東海、輔仁、銘傳、雲科大、北藝大及實踐7所大學規劃AI專班，9月20日於線上舉辦聯合發布會正式啟動，邀集對於AI感興趣的各界人士，尤其是人文社會科學領域的教師踴躍報名，強化AI的認識及運用。本校規劃的專班為「AI+SDGs ╳ 數位永續與AI教育專班」，採線上報名方式，網址：https://enroll.tku.edu.tw/course.aspx?cid=ps20241012 。
</w:t>
          <w:br/>
          <w:t>發布會由計畫主持人焦傳金開場，宣布探索者計畫正式啟動「探索者學院」，協助大專教師增能。首先推動「AI學習體驗設計專班」，期建立大專校院教師共學共備的課程設計模式，提升教育創新的動能。教育部資訊及科技教育司司長吳穎沺致詞時說明，跨校共學一直是探索者計畫非常重視的項目之一，希望透過辦理專班，讓各校教師藉以交流與互動，並促進教師社群及伙伴學校關係的發展。他特別感謝願意協助開設專班的學校，也希望修習課程的學員，能夠認識生成式AI的基本原理，並將其運用於教學與學習，幫助更多人具備迎接未來挑戰的能力。
</w:t>
          <w:br/>
          <w:t>學術副校長許輝煌在發布會中，說明本校因應教育部探索者計畫（Xplorer）精神，開設「AI程式語言」與「探索永續」通識課程，強調「數位永續」（digital sustainability）的重要性，以及本校AI+SDGs=∞的未來發展主軸趨勢；開設專班目的，在於培養本校教師與學員對於人工智能技術與永續性之間交叉應用的深入理解，透過從基礎能力到進階知識的結構化學習路徑，提升AI技術知識與應用能力、強化對數位永續的認識，並促進創新思維的策略規劃，除能獨立運用AI技術解決問題，認知數位工具在實現SDGs中的重要角色及應用外，還能在策略層面整合AI技術以支援永續發展。
</w:t>
          <w:br/>
          <w:t>該系列AI專班將分別在2024年10至12月、2025年2至4月及7至9月間分三梯次進行，每梯次訓期約2個月，內容依各校規劃不同主題，涵蓋傳播、語言、人文社會、商管及設計等多元領域，全程參與課程並通過學習評估者，授予結業證書，並有機會成為下一梯次專班講師或顧問，打造長期合作夥伴關係。除了各校規劃內容，另安排「永續AI時代的教與學」、「傳播領域的教與學」、「師資培育領域的教與學」、「第二外語的教與學」及「大一中文的教與學」5門共同課程，幫助學員領略AI轉化教育的奧秘。</w:t>
          <w:br/>
        </w:r>
      </w:r>
    </w:p>
    <w:p>
      <w:pPr>
        <w:jc w:val="center"/>
      </w:pPr>
      <w:r>
        <w:r>
          <w:drawing>
            <wp:inline xmlns:wp14="http://schemas.microsoft.com/office/word/2010/wordprocessingDrawing" xmlns:wp="http://schemas.openxmlformats.org/drawingml/2006/wordprocessingDrawing" distT="0" distB="0" distL="0" distR="0" wp14:editId="50D07946">
              <wp:extent cx="4876800" cy="2212848"/>
              <wp:effectExtent l="0" t="0" r="0" b="0"/>
              <wp:docPr id="1" name="IMG_781c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539704d0-9678-4221-b997-c38f3d0371f7.jpg"/>
                      <pic:cNvPicPr/>
                    </pic:nvPicPr>
                    <pic:blipFill>
                      <a:blip xmlns:r="http://schemas.openxmlformats.org/officeDocument/2006/relationships" r:embed="Rbd3468c6426b4fdb" cstate="print">
                        <a:extLst>
                          <a:ext uri="{28A0092B-C50C-407E-A947-70E740481C1C}"/>
                        </a:extLst>
                      </a:blip>
                      <a:stretch>
                        <a:fillRect/>
                      </a:stretch>
                    </pic:blipFill>
                    <pic:spPr>
                      <a:xfrm>
                        <a:off x="0" y="0"/>
                        <a:ext cx="4876800" cy="22128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d3468c6426b4fdb" /></Relationships>
</file>