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0c2d43725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好書推介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編者按：由本校國際研究學院院長魏萼所著之《中國國富論》，乃於二○○○年五月，由時報出刊社出版。 
</w:t>
          <w:br/>
          <w:t>
</w:t>
          <w:br/>
          <w:t>　我們知道&amp;lt;&amp;lt;國富論》（The Wealth of Nation）乃英國經濟學者亞當•史密斯（Adam Smith）所著，於1776年出版。這是一部以歐洲為著眼點，包括理論、歷史及政策三部門之經濟體系，為不朽的經濟學名著，對後世有極大的影響。而本校美國研究所魏萼教授的《中國國富論》（The Wealth of Na-tions：A Chinese Version，2000年時報出版社出版）特地以中國文化為出發點，闡述富有中國特色市場經濟的本質。他本著知識份子的良知，以淵博的經濟學知識為經，悲天憫人的人道關懷為緯，專業又強調應該實行民主政治及力行儒家的務實精神。字裡行間諄諄提醒我們要有文化中國或中國文化，但不要有激情民族主義，而是要有理性民族主義，實在令人感佩。本書中肯地，且相當有系統地探討海峽兩岸的經濟問題，清晰地臚列出其優缺點，堪稱媲美史氏的《國富論》。台灣或大陸都一樣，其市場經濟何去何從，在厚厚的兩大冊鉅著中，不難從中窺知一二。
</w:t>
          <w:br/>
          <w:t>
</w:t>
          <w:br/>
          <w:t>　淡江大學聳立在五虎崗上，它居高臨下，俯瞰先民渡海來台的淡水河出海口，是台灣人文薈萃之最高學府。它的地理位置依山傍海，浩瀚的淡海，象徵著張創辦人的治學理念，從東、西文化角度觀點楬櫫國際化的思考。雄偉的觀音山正顯示淡江一向標榜的學術獨立自由、多元一體、兼容並蓄的學風。在這樣優良的學術環境之下，魏教授最新的著作《中國國富論》問世了。時值淡江大學建校五十週年，在魏教授雅囑之下，再三展讀其著作，對同屬炎黃子孫的台灣與中國實深具重大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371600"/>
              <wp:effectExtent l="0" t="0" r="0" b="0"/>
              <wp:docPr id="1" name="IMG_8fb10e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349a77f6-6890-4cd6-8cf5-ffe3c6afa982.jpg"/>
                      <pic:cNvPicPr/>
                    </pic:nvPicPr>
                    <pic:blipFill>
                      <a:blip xmlns:r="http://schemas.openxmlformats.org/officeDocument/2006/relationships" r:embed="R197f34dbe9d3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7f34dbe9d340aa" /></Relationships>
</file>