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816233f40c141a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1196 期</w:t>
        </w:r>
      </w:r>
    </w:p>
    <w:p>
      <w:pPr>
        <w:jc w:val="center"/>
      </w:pPr>
      <w:r>
        <w:r>
          <w:rPr>
            <w:rFonts w:ascii="Segoe UI" w:hAnsi="Segoe UI" w:eastAsia="Segoe UI"/>
            <w:sz w:val="32"/>
            <w:color w:val="000000"/>
            <w:b/>
          </w:rPr>
          <w:t>92nd School Affairs Meeting: President Keh Announces AI Integration into Teaching for the 2025 Academic Year</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The 92nd School Affairs Meeting was held on November 1 at 2:00 PM in the Chang Yeo Lan International Conference Hall of the Hsu Shou-Chlien International Conference Center, chaired by President Huan-Chao Keh. Attendees included Vice President for Academic Affairs Hui-Huang Hsu, Vice President for Administrative Affairs Chun-Hung Lin, Vice President for International Affairs Hsiao-Chuan Chen, first-level supervisors, second-level teaching and administrative supervisors, faculty, and student representatives. The meeting was broadcast simultaneously to the Taipei and Lanyang campuses via video conferencing.
</w:t>
          <w:br/>
          <w:t>President Keh began by commending the outstanding performance of faculty, staff, and students in recent years, contributing to the university's exceptional achievements. Notable highlights include a record-breaking registration rate of over 101% for new students in the daytime undergraduate program this academic year and the successful promotion of digital and net-zero transformations, which have enhanced the national recognition of the university's AI+SDGs=∞ initiative. He then announced that Tamkang University will implement AI-integrated teaching across all faculties starting in the 2025 academic year. This initiative will incorporate AI into teaching, research, industry-academia collaboration, and student guidance, equipping students with the skills to use AI tools effectively, improving teaching processes, and enhancing learning outcomes. Additionally, the curriculum will integrate SDG-related topics to highlight departmental strengths.
</w:t>
          <w:br/>
          <w:t>The special reports were delivered by Dean Huei-Chun Chi of the College of Liberal Arts and Dean Li-Jen Yang of the College of Business and Management, who detailed their respective colleges' strategies for curriculum reform and innovative transformation in response to the AI era, aiming to create distinctive features for their academic departments. The College of Liberal Arts proposed 3 strategies: "Humanities and Technological Spirit," "AI Collaboration and Diverse Narratives," and "Industry Linkages and Practitioner Guidance." These strategies aim to cultivate cross-disciplinary competencies in students that align with industry needs by integrating AI tools and sustainability topics. The college also plans to launch the "Smart Humanities and Practical Innovation Credit Program," which combines the unique strengths of each department with AI collaboration to enhance students' multimedia storytelling and AI application skills, boosting their competitiveness in the job market.
</w:t>
          <w:br/>
          <w:t>The College of Business and Management outlined 4 directions for its development: "Innovative Recruitment Alliances," "Three-Pronged Empowerment in Specialized Teaching," "Strengthened Industry-Academia Connections," and "Localized Faculty with International Optimization." These initiatives aim to redefine the college's brand value, innovate recruitment strategies and teaching models, integrate academic and industrial resources, and enhance local and international exchange.
</w:t>
          <w:br/>
          <w:t>The meeting approved 13 proposals, including the draft of the 2023 Academic Year Financial Final Account, the proposal for adjusting department and degree program quotas for the 2026 academic year, the draft for the "TKU Guidelines AI Ethics Education Resource Center Establishment," amendments to Article 5 of the "Tamkang University Shao-Mo Memorial Gymnasium Management Guidelines," the draft for the "Tamkang University Campus Bullying Prevention Committee Establishment Guidelines," partial amendments to the "Tamkang University Faculty Appointment, Compensation, and Service Guidelines," amendments to Article 2 of the "Tamkang University Faculty Leave Guidelines," amendments to Article 12 of the "Tamkang University Faculty Evaluation Guidelines," revisions to the "Tamkang University Workplace Sexual Harassment Prevention Guidelines," renaming it to the "Tamkang University Sexual Harassment Prevention and Workplace Gender Equality Implementation Guidelines," and partial amendments thereof, as well as amendments to Articles 4, 5, and 7 of the "Tamkang University Academic Ethics Management Guidelines for Faculty, Staff, and Students," amendments to Articles 16 and 28 of the "Tamkang University Staff Appointment, Compensation, and Service Guidelines," and amendments to Articles 5 and 20 of the "Tamkang University Organizational Regulations" and Articles 7 and 18 of the "Tamkang University Operational Rules." During the extempore motion session, a student representative asked whether to suspend classes or transition to online learning during severe weather conditions. President Keh addressed the concern with a response.</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e5cbf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b9f4c7da-3e22-4581-afdb-58a66be20cb6.jpg"/>
                      <pic:cNvPicPr/>
                    </pic:nvPicPr>
                    <pic:blipFill>
                      <a:blip xmlns:r="http://schemas.openxmlformats.org/officeDocument/2006/relationships" r:embed="Rcc14d2e7c3044592"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7ebf70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e5083d90-7c9e-47d5-81f1-f2bcb901808f.jpg"/>
                      <pic:cNvPicPr/>
                    </pic:nvPicPr>
                    <pic:blipFill>
                      <a:blip xmlns:r="http://schemas.openxmlformats.org/officeDocument/2006/relationships" r:embed="R1228a20155bf4d19"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d84cd9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5e44db06-41d8-47ab-a7ba-e10a9c841ee9.jpg"/>
                      <pic:cNvPicPr/>
                    </pic:nvPicPr>
                    <pic:blipFill>
                      <a:blip xmlns:r="http://schemas.openxmlformats.org/officeDocument/2006/relationships" r:embed="R15ac8651e745405b"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cc14d2e7c3044592" /><Relationship Type="http://schemas.openxmlformats.org/officeDocument/2006/relationships/image" Target="/media/image2.bin" Id="R1228a20155bf4d19" /><Relationship Type="http://schemas.openxmlformats.org/officeDocument/2006/relationships/image" Target="/media/image3.bin" Id="R15ac8651e745405b" /></Relationships>
</file>