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b2bf5ae30465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113學年度教師研究獎勵總金額創新紀錄 持續展現教師高研究能量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藍心妤淡水校園報導】人力資源處日前公告113學年度教師研究獎勵名單，包含學術期刊論文、學術性專書、研究成果授權或移轉、Scopus資料庫收錄之學術期刊論文、研討會論文或學術性專書之被引用次數、創作展演及體育競賽5個項目，總金額2,240萬6,202元，再創歷史新高，顯現本校教師學術研究能量持續提升。
</w:t>
          <w:br/>
          <w:t>本次學術期刊論文共獎勵163位教師454篇論文，總金額2,071萬4,100元，其中SCI及SSCI收錄395篇、A&amp;HCI收錄8篇、ESCI收錄8篇、THCI及TSSCI收錄42篇、本校期刊收錄1篇，其中與國際學者共同發表153篇；學術性專書通過3件3人 總獎勵金額10萬1500元；Scopus資料庫收錄之學術期刊論文、研討會論文或學術性專書之被引用次數65件26人，總獎勵116萬5,000元；創作展演及體育競賽16件9人，創作展演國際級1件、創作展演縣市政府級6件，體育競賽國家級9件，總獎勵42萬元；研發成果授權或移轉件數2件2人，補助總金額5,602元。
</w:t>
          <w:br/>
          <w:t>此次獲得學術期刊論文獎勵的教師，許多皆名列去年9月發布的「2024年全球前2%頂尖科學家（World's Top 2% Scientists 2024）」中之「終身科學影響力排行榜（1960-2023）」及「2024年度科學影響力排行榜」，包括數學系郭忠勝、張玉坤、物理系李明憲、董崇禮、化學系王三郎、建築系姚忠達、土木系葉怡成、水環系張麗秋、化材系何啟東、電機系丘建青、許駿飛、企管系吳坤山、會計系方郁惠、統計系張春桃、管科系曹銳勤、廖述賢，展現獲獎教師厚實的研究能量，以及研究內容的影響力。
</w:t>
          <w:br/>
          <w:t>本校的定位為「重視研究的教學型大學」，葛煥昭校長提出「以獎勵代替補助」重視研究的鼓勵策略後，教師的研究產能持續穩定上升，未來學校也將朝此方向繼續邁進，支持研究與教學的平衡發展。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895344"/>
              <wp:effectExtent l="0" t="0" r="0" b="0"/>
              <wp:docPr id="1" name="IMG_549f201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1/m\a2479bf2-68de-4e0a-af5e-82ba4567cc33.jpg"/>
                      <pic:cNvPicPr/>
                    </pic:nvPicPr>
                    <pic:blipFill>
                      <a:blip xmlns:r="http://schemas.openxmlformats.org/officeDocument/2006/relationships" r:embed="Rf796d1384bb74bd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8953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796d1384bb74bd2" /></Relationships>
</file>