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badbc806c9403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簽署碳權研究計畫  化材系攜手翰可能源邁向永續</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淡水校園報導】化材系與「能源與光電材料研究中心」協力，協助校友企業翰可能源股份有限公司進行「探討碳權交易巿場與地熱技術於碳匯之應用」研究計畫。1月17日簽署產學合作合約書，在翰可能源董事長，化材系校友陳洋淵及雙方多位成員觀禮見證下，由本校化材系系主任林正嵐及翰可能源總經理莊景名代表簽署。為期一年的合作計畫，由翰可能源提供經費50萬，另捐資50萬元作為系務發展經費。
</w:t>
          <w:br/>
          <w:t>該計畫主持人為主任林正嵐，共同主持人為化材系教授黃招財、副教授王儀雯。本校將透過產業資訊蒐集、參加研討會、參與培訓課程、完成專業認證課程，提供充足的資訊，協助翰可能源公司了解國內及國際碳交易巿場、地熱發電與碳封存巿場走向。
</w:t>
          <w:br/>
          <w:t>此為2023年雙方簽署「探討台灣碳權交易啟動的企業因應之道」研究計畫的延續。林正嵐表示，隨著歐盟將於2026年正式實施碳邊境調整機制，明訂出口國產品碳含量，超標者須購買碳權，並課徵碳關稅。基於2050年淨零碳排目標，雙方將更進一步著眼於國際碳關稅與臺灣碳費制度的影響、碳交易系統與價格趨勢分析等細節，作為翰可能源發展的智庫。
</w:t>
          <w:br/>
          <w:t>此外，翰可能源已開發地熱能，與國外公司合作要將地熱推向臺灣前三大再生能源。合約亦提及本校化材系將提供技術及巿場分析的相關文獻及學理諮詢，產學攜手邁向永續。</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4605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d6bc726f-93a1-40ab-ba0e-5fd6595f2a2e.jpeg"/>
                      <pic:cNvPicPr/>
                    </pic:nvPicPr>
                    <pic:blipFill>
                      <a:blip xmlns:r="http://schemas.openxmlformats.org/officeDocument/2006/relationships" r:embed="Rf75787329ea0447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79648"/>
              <wp:effectExtent l="0" t="0" r="0" b="0"/>
              <wp:docPr id="1" name="IMG_1c8f7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a31459c2-0988-4252-b2c7-9d6ddd1968a3.jpeg"/>
                      <pic:cNvPicPr/>
                    </pic:nvPicPr>
                    <pic:blipFill>
                      <a:blip xmlns:r="http://schemas.openxmlformats.org/officeDocument/2006/relationships" r:embed="R3e4af46384784154" cstate="print">
                        <a:extLst>
                          <a:ext uri="{28A0092B-C50C-407E-A947-70E740481C1C}"/>
                        </a:extLst>
                      </a:blip>
                      <a:stretch>
                        <a:fillRect/>
                      </a:stretch>
                    </pic:blipFill>
                    <pic:spPr>
                      <a:xfrm>
                        <a:off x="0" y="0"/>
                        <a:ext cx="4876800" cy="32796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75787329ea04478" /><Relationship Type="http://schemas.openxmlformats.org/officeDocument/2006/relationships/image" Target="/media/image2.bin" Id="R3e4af46384784154" /></Relationships>
</file>