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df03d3a144e449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1205 期</w:t>
        </w:r>
      </w:r>
    </w:p>
    <w:p>
      <w:pPr>
        <w:jc w:val="center"/>
      </w:pPr>
      <w:r>
        <w:r>
          <w:rPr>
            <w:rFonts w:ascii="Segoe UI" w:hAnsi="Segoe UI" w:eastAsia="Segoe UI"/>
            <w:sz w:val="32"/>
            <w:color w:val="000000"/>
            <w:b/>
          </w:rPr>
          <w:t>性別主流化講座 許純昌分享彰師大推動經驗</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藍心妤淡水校園報導】「性別主流化的推動與政策、法規息息相關，為將性別主流化融入校務行政，校內一級主管的性別意識培力至關重要。」性別平等委員會2月13日中午12時，在守謙國際會議中心HC305舉辦性別主流化講座，邀請國立彰化師範大學校長室機要秘書兼性別平等教育委員會專任幹事許純昌，以「高等教育中的性別主流化：夥伴學校經驗分享」為題，分享該校參與和推動性別主流化的經驗，校長葛煥昭、行政副校長林俊宏、國際事務副校長陳小雀及校內一級主管出席參與。
</w:t>
          <w:br/>
          <w:t>許純昌首先介紹，在1979年聯合國大會通過「消除對婦女一切形式歧視公約」（CEDAW）後，在性別平等一向表現良好的臺灣，為表示加入聯合國的誠意與實力，願意比照會員國來推動性別平等與性別主流化，於2007年簽署加入該公約，2012年經由立法院通過，納為國內法，該年又稱「性平元年」，行政院所屬各部會開始檢視政策法規，修改涉及歧視婦女的有關內容。
</w:t>
          <w:br/>
          <w:t>因此，彰師大在2011年加入教育部的推動性別主流化試辦計畫，以性別主流化六大工具「性別統計、性別分析、性別預算、性別影響評估、性別意識培力、性別平等機制運作」檢視各項校務；2021年加入教育部委託臺灣大學成立的「大專校院性別主流化資源中心」夥伴學校，淡江則在2023年加入。許純昌特別提到，性別主流化議題與SDGs中的多項目標相互扣連，他特別稱許淡江，近年來在「AI+SDGs=∞」校務發展願景的帶領下，永續相關事務的優異表現有目共睹，相信在性別主流化的推動，已奠定堅實的基礎。
</w:t>
          <w:br/>
          <w:t>許純昌表示，一般校內的性別平等委員會，須處理性平事件及推動性別教育，較難主導校內的政策與法規，因此彰師大特別設置校內跨單位的功能性推動小組，由秘書室統籌，結合校務研究中心、教務處及研發處，來整合中長程校務發展計畫、高教深耕及SDGs所需資料，達到資源共享和有效推動。另外，他也建議夥伴學校，可根據自身的學校定位與發展方向，選擇適合的性平議題，發展不同的特色活動。
</w:t>
          <w:br/>
          <w:t>最後，他引用臺灣大學建築與城鄉研究所教授畢恆達的話，「性別平等距離我們有多遠，決定於我們願意為其付出多少努力」作結，希望今日的分享，能在淡江師長制定、調整性平法規時，提供些許啟發，一起為推動性別平等而努力。
</w:t>
          <w:br/>
          <w:t>一級主管於討論時提出「高教深耕中，如何在做法中納入性別影響評估」、「編列性平預算的依據」、「性別友善空間的建置」、「在系統中如何註記學生多元性別」、「在校內各一級單位如何設置多元性別友善窗口」及「如何執行校務檢視清單」等問題，許純昌以彰師大及夥伴學校的經驗，進行實務分享交流。</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e594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024163a5-7e4d-4a81-bd43-94fbce542f26.jpeg"/>
                      <pic:cNvPicPr/>
                    </pic:nvPicPr>
                    <pic:blipFill>
                      <a:blip xmlns:r="http://schemas.openxmlformats.org/officeDocument/2006/relationships" r:embed="Rb3f78a932c5b429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fe71a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cddd5b1f-bcdc-49c5-b0bc-69ed6f51554e.jpeg"/>
                      <pic:cNvPicPr/>
                    </pic:nvPicPr>
                    <pic:blipFill>
                      <a:blip xmlns:r="http://schemas.openxmlformats.org/officeDocument/2006/relationships" r:embed="R44e1be2d62904178"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add10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6d41cdc1-4b9a-42c1-b6c9-9e8691eb40f5.jpg"/>
                      <pic:cNvPicPr/>
                    </pic:nvPicPr>
                    <pic:blipFill>
                      <a:blip xmlns:r="http://schemas.openxmlformats.org/officeDocument/2006/relationships" r:embed="R84d71fda627846a6"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3f78a932c5b429a" /><Relationship Type="http://schemas.openxmlformats.org/officeDocument/2006/relationships/image" Target="/media/image2.bin" Id="R44e1be2d62904178" /><Relationship Type="http://schemas.openxmlformats.org/officeDocument/2006/relationships/image" Target="/media/image3.bin" Id="R84d71fda627846a6" /></Relationships>
</file>