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b52a7fbb7384ce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1204 期</w:t>
        </w:r>
      </w:r>
    </w:p>
    <w:p>
      <w:pPr>
        <w:jc w:val="center"/>
      </w:pPr>
      <w:r>
        <w:r>
          <w:rPr>
            <w:rFonts w:ascii="Segoe UI" w:hAnsi="Segoe UI" w:eastAsia="Segoe UI"/>
            <w:sz w:val="32"/>
            <w:color w:val="000000"/>
            <w:b/>
          </w:rPr>
          <w:t>1111 Job Bank Survey: Tamkang University Tops Corporate-Favorite Private School Rankings Again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1111 Job Bank held the “2025 Corporate Favorite University” press conference on January 16, announcing the latest rankings. Tamkang University entered the top 10 in the “Overall Workplace Performance” ranking, maintaining the ninth position and retaining the top spot among private schools. President Huan-Chao Keh and Secretary-General Yu-Pei Ma attended the press conference and participated in media interviews. President Keh stated that Tamkang’s “Three Circles and Five Disciplines” educational philosophy provides students with soft skills in addition to their professional expertise. Under the school development direction of “AI+SDGs=∞,” the ability to keep pace with the times and pursue interdisciplinary approaches has made Tamkang the top private school favored by enterprises.
</w:t>
          <w:br/>
          <w:t>This survey was conducted in collaboration with the TUN University Network. Between August and September of last year, an online questionnaire survey was administered by sampling business leaders, supervisors, and HR personnel with the authority to select and recruit talent. Among the top ten, only Tamkang and Fu Jen are private schools. In contrast, the top eight are all public universities, namely Cheng Kung, National Taiwan University, National Taiwan University of Science and Technology, Yang Ming Chiao Tung University, National Tsing Hua University, National Chengchi University, National Taipei University of Technology, and National Central University. Regarding performance across 18 academic clusters, our school appeared in 5 categories: Information and Mass Communication ranked 5th, Engineering and Foreign Languages ranked 6th, and Architecture ranked 8th.
</w:t>
          <w:br/>
          <w:t>At the press conference, President Keh, in response to a question from 1111 Job Bank spokesperson Vivi Huang, pointed out that the main reason enterprises favor Tamkang’s graduates originates from the educational philosophy of the Triple Objectives of Globalization, Information-oriented education, and Future-oriented education proposed by founder Dr. Clement C.P. Chang in 1965, which has evolved into today’s “Three Circles and Five Disciplines” to cultivate talents with outstanding character. This includes professionalism, general education, and the nation’s only compulsory featured course—club credits—allowing students to continuously enhance their abilities in teamwork, dedication, leadership, and interpersonal relationships.
</w:t>
          <w:br/>
          <w:t>1111 noted that in the rankings, traditional science and engineering universities dominated strongly, and the AI boom is still on the rise, prompting schools to resolve to change, with interdisciplinary programs becoming prominent. President Keh said in response to the AI wave, “Tamkang is the first university in Taiwan to promote AI and SDGs together.” Our school established the AI Innovation and Intelligence College in 2020, and the following year, the Department of Artificial Intelligence began admitting students. In 2023, it was approved by the Intellectual Property Office of the Ministry of Economic Affairs and registered “AI+SDGs=∞” as a trademark. He indicated that this educational theme signifies comprehensive teaching, research, administration, and service enhancement. He also mentioned that Tamkang University has engaged in industry-academia collaborations with over 190 companies, including Microsoft Taiwan, FarEasTone, Siemens Taiwan, Asia Cement, and alums companies Sinbon, Skwentex, and WIN. He further noted that in recent years, the school has promoted a dual-track transformation towards digitalization and net zero, constructing “All-Cloud Smart Campus 2.0,” which is about to be upgraded again, confidently inviting the education professionals present to visit Tamkang. He proudly said, “All administrative colleagues are proficient in using cloud AI tools, engaging in sharing, co-creation, and co-editing while also saving energy and reducing carbon emissions to achieve sustainable goals.”
</w:t>
          <w:br/>
          <w:t>On that day, 1111 also arranged for outstanding interdisciplinary students to be interviewed by the media. Ching Teng, a first-year master’s student in the Department of Computer Science and Information Engineering at Tamkang, dual majoring in Chinese and Computer Science, has been successfully admitted to the master’s program in the Department of Computer Science, attracted attention. As she has also served as a photography reporter for Tamkang Times for over four years and studied an education program, she was hailed by 1111 reporters as an “interdisciplinary expert in literature and technology, using AI to decipher the mysteries of oracle bone script.”</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47f34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f4d44c15-9336-4bc4-aee2-251dec25bf5f.jpg"/>
                      <pic:cNvPicPr/>
                    </pic:nvPicPr>
                    <pic:blipFill>
                      <a:blip xmlns:r="http://schemas.openxmlformats.org/officeDocument/2006/relationships" r:embed="Rbe38a828614f44d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f83ed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dd8d50a3-3f00-48db-af7b-488acb91aff4.jpg"/>
                      <pic:cNvPicPr/>
                    </pic:nvPicPr>
                    <pic:blipFill>
                      <a:blip xmlns:r="http://schemas.openxmlformats.org/officeDocument/2006/relationships" r:embed="Rb70f0ba2a71a4d0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5c0206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5d76c574-8a39-4e76-9971-10df27330fc5.jpg"/>
                      <pic:cNvPicPr/>
                    </pic:nvPicPr>
                    <pic:blipFill>
                      <a:blip xmlns:r="http://schemas.openxmlformats.org/officeDocument/2006/relationships" r:embed="R13289b4fe9b5432e"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2f8a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1/m\e6692dad-4c2a-49c4-80be-261db495fe27.jpg"/>
                      <pic:cNvPicPr/>
                    </pic:nvPicPr>
                    <pic:blipFill>
                      <a:blip xmlns:r="http://schemas.openxmlformats.org/officeDocument/2006/relationships" r:embed="Ra6b21d59aa33497f"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e38a828614f44d6" /><Relationship Type="http://schemas.openxmlformats.org/officeDocument/2006/relationships/image" Target="/media/image2.bin" Id="Rb70f0ba2a71a4d06" /><Relationship Type="http://schemas.openxmlformats.org/officeDocument/2006/relationships/image" Target="/media/image3.bin" Id="R13289b4fe9b5432e" /><Relationship Type="http://schemas.openxmlformats.org/officeDocument/2006/relationships/image" Target="/media/image4.bin" Id="Ra6b21d59aa33497f" /></Relationships>
</file>