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02e1f80fbe041b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1205 期</w:t>
        </w:r>
      </w:r>
    </w:p>
    <w:p>
      <w:pPr>
        <w:jc w:val="center"/>
      </w:pPr>
      <w:r>
        <w:r>
          <w:rPr>
            <w:rFonts w:ascii="Segoe UI" w:hAnsi="Segoe UI" w:eastAsia="Segoe UI"/>
            <w:sz w:val="32"/>
            <w:color w:val="000000"/>
            <w:b/>
          </w:rPr>
          <w:t>Tamkang Excels in Education, Social Sciences, and Physics in THE World University Rankings by Subject 2025</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UK-based Times Higher Education (THE) announced the World University Rankings by Subject 2025 on January 22. Tamkang University’s Education discipline continued its outstanding performance from last year, maintaining our position as the top-ranked private university. Social Sciences and Physical Sciences rankings have improved compared to the previous year, securing second and third place among private universities, respectively. Business and Economics remained the 5th among private universities, while Engineering and Computer Science were also ranked (see full rankings table).
</w:t>
          <w:br/>
          <w:t>Tamkang's Education discipline again claimed the top spot among private universities. This achievement adds prestige to the College of Education, which received institutional accreditation from the World Futures Studies Federation (WFSF) Program Accreditation Council last year. It also marks another milestone in the university’s distinguished history of futures studies research, which began in 1960. Globally, only the Master’s Program in Foresight at the University of Houston (USA), the University of Turku (Finland), and Stellenbosch University (South Africa) have been accredited by the WFSF, with Tamkang University becoming the fourth academic institution to receive this recognition.
</w:t>
          <w:br/>
          <w:t>The rankings are based on 5 key areas: teaching, research quality, research environment, international outlook, and industry engagement, evaluated through 18 performance indicators. Tamkang University’s Education discipline excelled in research quality and industry engagement this year. Meanwhile, Physical Sciences and Engineering performed well in research quality, whereas Social Sciences, Business and Economics, and Computer Science showed relative strength in industry engagement.</w:t>
          <w:br/>
        </w:r>
      </w:r>
    </w:p>
    <w:p>
      <w:pPr>
        <w:jc w:val="center"/>
      </w:pPr>
      <w:r>
        <w:r>
          <w:drawing>
            <wp:inline xmlns:wp14="http://schemas.microsoft.com/office/word/2010/wordprocessingDrawing" xmlns:wp="http://schemas.openxmlformats.org/drawingml/2006/wordprocessingDrawing" distT="0" distB="0" distL="0" distR="0" wp14:editId="50D07946">
              <wp:extent cx="4876800" cy="1810512"/>
              <wp:effectExtent l="0" t="0" r="0" b="0"/>
              <wp:docPr id="1" name="IMG_1d347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2/m\df97878c-2a59-47fc-947d-ee1cfead5564.jpg"/>
                      <pic:cNvPicPr/>
                    </pic:nvPicPr>
                    <pic:blipFill>
                      <a:blip xmlns:r="http://schemas.openxmlformats.org/officeDocument/2006/relationships" r:embed="R64a906596a974c2c" cstate="print">
                        <a:extLst>
                          <a:ext uri="{28A0092B-C50C-407E-A947-70E740481C1C}"/>
                        </a:extLst>
                      </a:blip>
                      <a:stretch>
                        <a:fillRect/>
                      </a:stretch>
                    </pic:blipFill>
                    <pic:spPr>
                      <a:xfrm>
                        <a:off x="0" y="0"/>
                        <a:ext cx="4876800" cy="181051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4a906596a974c2c" /></Relationships>
</file>