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fceee84ca7a412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1205 期</w:t>
        </w:r>
      </w:r>
    </w:p>
    <w:p>
      <w:pPr>
        <w:jc w:val="center"/>
      </w:pPr>
      <w:r>
        <w:r>
          <w:rPr>
            <w:rFonts w:ascii="Segoe UI" w:hAnsi="Segoe UI" w:eastAsia="Segoe UI"/>
            <w:sz w:val="32"/>
            <w:color w:val="000000"/>
            <w:b/>
          </w:rPr>
          <w:t>Research and Development Office Launches International Industry-Academia Collaboration, EU Center Takes the Lead</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Tamkang University’s Office of Research and Development has partnered with the NSTC project of the NTHU Scientific Research Industrialization Platform of Five University Alliance to actively expand international industry-academia collaboration. The EU Research Center led the first specialized training course, traveling to Vietnam for professional training on carbon border adjustment mechanisms. The course aimed to assist local enterprises in gaining a deeper understanding of the EU Carbon Border Adjustment Mechanism (CBAM) and preparing effective response strategies.
</w:t>
          <w:br/>
          <w:t>In the 2024 academic year, the Research and Development Office signed an industry-academia collaboration agreement with Vietnam’s TTC Corporation, formalizing the "TTC Commissioned Training Project for Vietnamese Enterprises on ESG". From February 23 to 27, Dr. Li-Jiuan Chen-Rabich, Director of the EU Research Center and Professor of the Master’s Program in European Studies at the Department of Diplomacy and International Relations, along with student representative Yu-Han Lo, a second-year master's student in European Studies with a carbon inventory certification, traveled to Ho Chi Minh City’s TTC Processing and Export Zone. TTC selected 30 representatives from 20 enterprises, including Taiwanese, Japanese, and Vietnamese companies, for the 3-day “Net-Zero Carbon Reduction and Carbon Inventory Training” professional course. The course focused on how manufacturers should conduct carbon inventory and implement effective carbon management in response to the upcoming EU CBAM regulations. The training also included a Q&amp;A session to address various concerns raised by participating enterprises.
</w:t>
          <w:br/>
          <w:t>Professor Hung-Chung Hsueh, Dean of Research and Development, emphasized that Tamkang University’s EU Research Center is the only institution in Taiwan specializing in EU regulatory research. Director Chen-Rabich is one of the few EU law experts in Taiwan and has extensive experience assisting businesses in corporate compliance, carbon inventory, and carbon management related to the EU CBAM, receiving widespread acclaim. This collaboration marks a groundbreaking step in international cooperation, and more concrete partnership solutions are expected in the future.
</w:t>
          <w:br/>
          <w:t>Prof. Hsueh further explained that, in response to the growing demand for intellectual property and legal knowledge related to sustainability, the Research and Development Office will introduce a "Sustainable Development Practical Platform" starting this semester. The platform will offer specialized courses such as Introduction to Intellectual Property Rights and Trademark Law, and Trade Secrets and Patent Strategy. Guest lecturers will include Justice of the Judicial Yuan and Acting President of the Judicial Yuan Ming-Yan Shieh, Professors of the Graduate Institute of Patent at NTUST Chao-Hua Chen and Yun Keng, and Professor Chen-Rabich. Additionally, self-paced micro-credit courses will be launched, covering topics such as Understanding the EU and Global Net-Zero Emissions Regulations, Practical Implementation of CBAM, Greenhouse Gas Inventory and Generative AI Introduction &amp; Hands-on Practice, and VR-Based Carbon Inventory Simulation. Information on these courses will be published in the event registration system, inviting faculty, staff, and students to participate.</w:t>
          <w:br/>
        </w:r>
      </w:r>
    </w:p>
    <w:p>
      <w:pPr>
        <w:jc w:val="center"/>
      </w:pPr>
      <w:r>
        <w:r>
          <w:drawing>
            <wp:inline xmlns:wp14="http://schemas.microsoft.com/office/word/2010/wordprocessingDrawing" xmlns:wp="http://schemas.openxmlformats.org/drawingml/2006/wordprocessingDrawing" distT="0" distB="0" distL="0" distR="0" wp14:editId="50D07946">
              <wp:extent cx="4876800" cy="4084320"/>
              <wp:effectExtent l="0" t="0" r="0" b="0"/>
              <wp:docPr id="1" name="IMG_6fa3a1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3/m\a98d35f4-6f82-4d74-b1e0-ce6d969addf4.jpg"/>
                      <pic:cNvPicPr/>
                    </pic:nvPicPr>
                    <pic:blipFill>
                      <a:blip xmlns:r="http://schemas.openxmlformats.org/officeDocument/2006/relationships" r:embed="Rd6f198fb30d44f56" cstate="print">
                        <a:extLst>
                          <a:ext uri="{28A0092B-C50C-407E-A947-70E740481C1C}"/>
                        </a:extLst>
                      </a:blip>
                      <a:stretch>
                        <a:fillRect/>
                      </a:stretch>
                    </pic:blipFill>
                    <pic:spPr>
                      <a:xfrm>
                        <a:off x="0" y="0"/>
                        <a:ext cx="4876800" cy="408432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090672"/>
              <wp:effectExtent l="0" t="0" r="0" b="0"/>
              <wp:docPr id="1" name="IMG_19fbca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3/m\44f92899-8ab0-4e49-84ff-40a911e0dff1.jpg"/>
                      <pic:cNvPicPr/>
                    </pic:nvPicPr>
                    <pic:blipFill>
                      <a:blip xmlns:r="http://schemas.openxmlformats.org/officeDocument/2006/relationships" r:embed="R3d1cc630cd224f17" cstate="print">
                        <a:extLst>
                          <a:ext uri="{28A0092B-C50C-407E-A947-70E740481C1C}"/>
                        </a:extLst>
                      </a:blip>
                      <a:stretch>
                        <a:fillRect/>
                      </a:stretch>
                    </pic:blipFill>
                    <pic:spPr>
                      <a:xfrm>
                        <a:off x="0" y="0"/>
                        <a:ext cx="4876800" cy="3090672"/>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169920"/>
              <wp:effectExtent l="0" t="0" r="0" b="0"/>
              <wp:docPr id="1" name="IMG_cd0305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3/m\5d1f0607-168f-4bc8-8142-2cb4ba306eb0.jpg"/>
                      <pic:cNvPicPr/>
                    </pic:nvPicPr>
                    <pic:blipFill>
                      <a:blip xmlns:r="http://schemas.openxmlformats.org/officeDocument/2006/relationships" r:embed="R945055c5ac944bf9" cstate="print">
                        <a:extLst>
                          <a:ext uri="{28A0092B-C50C-407E-A947-70E740481C1C}"/>
                        </a:extLst>
                      </a:blip>
                      <a:stretch>
                        <a:fillRect/>
                      </a:stretch>
                    </pic:blipFill>
                    <pic:spPr>
                      <a:xfrm>
                        <a:off x="0" y="0"/>
                        <a:ext cx="4876800" cy="316992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d6f198fb30d44f56" /><Relationship Type="http://schemas.openxmlformats.org/officeDocument/2006/relationships/image" Target="/media/image2.bin" Id="R3d1cc630cd224f17" /><Relationship Type="http://schemas.openxmlformats.org/officeDocument/2006/relationships/image" Target="/media/image3.bin" Id="R945055c5ac944bf9" /></Relationships>
</file>