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a72749635c447a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1205 期</w:t>
        </w:r>
      </w:r>
    </w:p>
    <w:p>
      <w:pPr>
        <w:jc w:val="center"/>
      </w:pPr>
      <w:r>
        <w:r>
          <w:rPr>
            <w:rFonts w:ascii="Segoe UI" w:hAnsi="Segoe UI" w:eastAsia="Segoe UI"/>
            <w:sz w:val="32"/>
            <w:color w:val="000000"/>
            <w:b/>
          </w:rPr>
          <w:t>Tamkang Hosts Full-English Day Camp: Renwu High School Students Experience Internationalized Campus Life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February 13, students and teachers from Kaohsiung Municipal Renwu High School’s Bilingual Experimental Class visited Tamkang University to participate in the “Tamkang x Renwu – MOFA Visit &amp; One-Day English Immersion Camp.” Organized by the Admissions Strategy Center under the Office of Academic Affairs, the event allowed high school students to experience university courses, explore Tamkang’s campus and learning environment, and plan their future academic and career paths. Additionally, students gained international insights through practical experiences shared by Ministry of Foreign Affairs (MOFA) officials.
</w:t>
          <w:br/>
          <w:t>The program included second- and third-year high school students, with customized course content. For second-year students, Professor Yen-Ling Lin from the Department of Economics led a session on GDP, discussing its definition and exploring market decision-making and allocation mechanisms in oligopolistic markets. Students also participated in interactive economics games to reinforce key concepts. Assistant Professor Wei-Jen Chen from the Department of Business Administration conducted a session on Sports Ethics, integrating corporate ethics theories and real-world sports industry cases to help students analyze ethical issues in sports from a moral perspective.
</w:t>
          <w:br/>
          <w:t>For third-year students, Associate Professor Shan-Ju Chi from the Department of International Tourism Management taught a Gap Year Tourism course, introducing the destination image theory in tourism studies. Students participated in group activities simulating the introduction of Taiwan’s tourist attractions to foreigners. Associate Professor Wei-Hsiu Lin from the Department of Global Politics and Economics led a session titled “How Have You Invested in Your Life?”, where students calculated whether Taiwanese salaries could cover their living expenses. The session also introduced financial literacy, investment strategies, and skills for enhancing international competitiveness.
</w:t>
          <w:br/>
          <w:t>Students visited the College of Liberal Arts and the Artificial Innovative Intelligence College. At the College of Liberal Arts, Associate Professor Wen-Chien Huang from the Department of Chinese, Chair Chi-Lin Lee of the Department of History, Associate Professor Hsuan-Pu Chang from the Department of Information &amp; Library Science, Assistant Chia-Min He from the Department of Mass Communication, and Teaching Assistant Hui-Hui Tzeng from the Department of Information &amp; Communication introduced their respective departments. Students explored research labs, TV stations, and radio studios to understand the college’s academic resources and unique features.
</w:t>
          <w:br/>
          <w:t>Professor Tzung-Hang Lee, the Dean of the Colleges of Engineering, Artificial Innovative Intelligence, and Precision Healthcare, introduced the engineering and AI-related departments at the Artificial Innovative Intelligence College, highlighting development prospects, scholarships, and academic resources. Students also participated in interactive AI experiences, including "Magic Mirror Journey," "Q&amp;A Interaction," "Mixed Reality Applications," and "Career Navigation." On February 12, students and teachers visited the Ministry of Foreign Affairs (MOFA), where Deputy Spokesperson Yi-Chun Chen and Chief of the Public Diplomacy Planning Section at the Public Diplomacy Coordination Council Wei-Ling Chen introduced various international engagement opportunities for young people, such as the International Youth Ambassador Program, working holiday programs, and overseas volunteer opportunities. They also shared insights into diplomatic work and strategies for promoting Taiwan’s visibility on the global stage.
</w:t>
          <w:br/>
          <w:t>Hung-Wen Huang, Director of Academic Affairs at Renwu High School, expressed gratitude to Tamkang University for providing this immersive international experience. This marks the third year of the school’s participation in Tamkang’s English Immersion Camp, which was previously limited to third-year students. This year, second-year students were also invited, and the event was scheduled earlier during the winter break to help students identify their academic interests early and make informed decisions about university applications. Student Shih-Han Huang shared that she found Tamkang’s campus clean and bright and expressed particular interest in the College of Foreign Languages. She especially enjoyed the Sports Ethics course, as it encouraged her to analyze real-world issues from an ethical perspective.</w:t>
          <w:br/>
        </w:r>
      </w:r>
    </w:p>
    <w:p>
      <w:pPr>
        <w:jc w:val="center"/>
      </w:pPr>
      <w:r>
        <w:r>
          <w:drawing>
            <wp:inline xmlns:wp14="http://schemas.microsoft.com/office/word/2010/wordprocessingDrawing" xmlns:wp="http://schemas.openxmlformats.org/drawingml/2006/wordprocessingDrawing" distT="0" distB="0" distL="0" distR="0" wp14:editId="50D07946">
              <wp:extent cx="4876800" cy="2871216"/>
              <wp:effectExtent l="0" t="0" r="0" b="0"/>
              <wp:docPr id="1" name="IMG_bbee5c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2/m\53acef9d-d60e-41b2-9fcf-e6718651a75e.jpg"/>
                      <pic:cNvPicPr/>
                    </pic:nvPicPr>
                    <pic:blipFill>
                      <a:blip xmlns:r="http://schemas.openxmlformats.org/officeDocument/2006/relationships" r:embed="R32cb1378636a48e3" cstate="print">
                        <a:extLst>
                          <a:ext uri="{28A0092B-C50C-407E-A947-70E740481C1C}"/>
                        </a:extLst>
                      </a:blip>
                      <a:stretch>
                        <a:fillRect/>
                      </a:stretch>
                    </pic:blipFill>
                    <pic:spPr>
                      <a:xfrm>
                        <a:off x="0" y="0"/>
                        <a:ext cx="4876800" cy="28712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36976"/>
              <wp:effectExtent l="0" t="0" r="0" b="0"/>
              <wp:docPr id="1" name="IMG_b88f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2/m\5f0e1cb7-2ff4-4400-ad48-33c550e79d7a.jpg"/>
                      <pic:cNvPicPr/>
                    </pic:nvPicPr>
                    <pic:blipFill>
                      <a:blip xmlns:r="http://schemas.openxmlformats.org/officeDocument/2006/relationships" r:embed="R3c2163875e67472c" cstate="print">
                        <a:extLst>
                          <a:ext uri="{28A0092B-C50C-407E-A947-70E740481C1C}"/>
                        </a:extLst>
                      </a:blip>
                      <a:stretch>
                        <a:fillRect/>
                      </a:stretch>
                    </pic:blipFill>
                    <pic:spPr>
                      <a:xfrm>
                        <a:off x="0" y="0"/>
                        <a:ext cx="4876800" cy="323697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00400"/>
              <wp:effectExtent l="0" t="0" r="0" b="0"/>
              <wp:docPr id="1" name="IMG_df8c16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2/m\660f285d-31da-46ea-bb68-8a0313b5a699.jpg"/>
                      <pic:cNvPicPr/>
                    </pic:nvPicPr>
                    <pic:blipFill>
                      <a:blip xmlns:r="http://schemas.openxmlformats.org/officeDocument/2006/relationships" r:embed="R361cfbdd5aa741a8" cstate="print">
                        <a:extLst>
                          <a:ext uri="{28A0092B-C50C-407E-A947-70E740481C1C}"/>
                        </a:extLst>
                      </a:blip>
                      <a:stretch>
                        <a:fillRect/>
                      </a:stretch>
                    </pic:blipFill>
                    <pic:spPr>
                      <a:xfrm>
                        <a:off x="0" y="0"/>
                        <a:ext cx="4876800" cy="32004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987040"/>
              <wp:effectExtent l="0" t="0" r="0" b="0"/>
              <wp:docPr id="1" name="IMG_ba3e7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2/m\6ca27460-3b05-48ba-99fc-6363ca10c5e2.jpg"/>
                      <pic:cNvPicPr/>
                    </pic:nvPicPr>
                    <pic:blipFill>
                      <a:blip xmlns:r="http://schemas.openxmlformats.org/officeDocument/2006/relationships" r:embed="Rb3ca3921a05c43f3" cstate="print">
                        <a:extLst>
                          <a:ext uri="{28A0092B-C50C-407E-A947-70E740481C1C}"/>
                        </a:extLst>
                      </a:blip>
                      <a:stretch>
                        <a:fillRect/>
                      </a:stretch>
                    </pic:blipFill>
                    <pic:spPr>
                      <a:xfrm>
                        <a:off x="0" y="0"/>
                        <a:ext cx="4876800" cy="298704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2cb1378636a48e3" /><Relationship Type="http://schemas.openxmlformats.org/officeDocument/2006/relationships/image" Target="/media/image2.bin" Id="R3c2163875e67472c" /><Relationship Type="http://schemas.openxmlformats.org/officeDocument/2006/relationships/image" Target="/media/image3.bin" Id="R361cfbdd5aa741a8" /><Relationship Type="http://schemas.openxmlformats.org/officeDocument/2006/relationships/image" Target="/media/image4.bin" Id="Rb3ca3921a05c43f3" /></Relationships>
</file>