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6b02b5f5e4c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本校再度接受教育部委託輔導大專校院改善節能措施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藍心妤淡水報導】本校積極協助「113年度補助大專校院改善節能措施成效計畫」，成效良好獲教育部肯定，114年度再次委託本校擔任輔導團隊專案辦公室，持續協助全國大專校院共同改善現行節能措施及能源，以建置智慧型電表、能源管理系統（Energy Management System, EMS）、汰換老舊熱泵系統與串接用電監測資訊至EMS為主，搭配EMS教育訓練課程或相關節能措施，強化並落實校園節能作為。申請作業已於2月21日截止，共86所學校提出申請，較113年68所成長逾26%。
</w:t>
          <w:br/>
          <w:t>該計畫旨在鼓勵大專校院構建智慧型電表及能源管理系統，以利更精確掌握校園各區域的用電情形，協助學校找出節能機會點，提升整體節能成效，並補助其他與節能及能源教育的相關措施，提升校園節能風氣及氛圍，落實節能效益。今年新增補助具節能標章認證的熱泵系統，及汰換老舊高壓變電器與整併高壓變電器容量，希望提升用電效率與供電系統的穩定性及可靠性，減少因設備老化引發的用電安全與耗能。
</w:t>
          <w:br/>
          <w:t>總務長蕭瑞祥甫於今年2月全國大專校院校長會議中，以計畫共同主持人身分，分享本校在張家宜董事長及葛煥昭校長領導下，推動節能減碳與智慧能源管理系統的作法及成效表現，不但獲得教育部長鄭英耀的肯定，也引起現場極大迴響，許多學校紛紛提出想到本校參訪EMS的意願。他表示，去年執行計畫時，有學校提出增設熱泵系統補助的建議，今年教育部提出擴大補助項目，因此新增熱泵系統補助及汰換高壓變壓器，讓各校可從更多面向提升用電效率，並檢討用電合理性；另教室、宿舍或研究室加裝冷氣智慧化控制系統，如增設可程式化邏輯控制器（PLC控制）或其他控制設備者，還能酌予提升補助金額。他期許能更有效協助申請學校推動節能減碳，一同為2050淨零碳排的目標努力。
</w:t>
          <w:br/>
          <w:t>本校自95年起投入建置能源管理系統，近年更導入AI用電預測模組等功能，進行介面升級與擴充工程；秉持校務發展願景「AI+SDGs=∞」及「ESG+AI=∞」，透過AI與永續雙軸轉型，朝「綠色校園」與「永續發展」目標邁進，節能與永續表現榮獲111年經濟部節能標竿獎金獎、112年度行政院國家永續發展委員會教育類國家永續發展獎、113年台灣永續大學獎中的「十大績優大學獎」、及「永續單項績效：環境領袖獎」，連續兩年輔導各大專校院改善節能措施實至名歸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200fd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49276a6-88ab-4e8a-b0e6-c583451e82d6.jpg"/>
                      <pic:cNvPicPr/>
                    </pic:nvPicPr>
                    <pic:blipFill>
                      <a:blip xmlns:r="http://schemas.openxmlformats.org/officeDocument/2006/relationships" r:embed="R546d544f3a8649d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aff77fb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32224a0-2e02-4523-a305-e30ab3532241.jpg"/>
                      <pic:cNvPicPr/>
                    </pic:nvPicPr>
                    <pic:blipFill>
                      <a:blip xmlns:r="http://schemas.openxmlformats.org/officeDocument/2006/relationships" r:embed="R3a71f344c3e84d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32176"/>
              <wp:effectExtent l="0" t="0" r="0" b="0"/>
              <wp:docPr id="1" name="IMG_eb8f76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f9c7784-7309-4f90-a4e7-3e757f94d1cc.jpg"/>
                      <pic:cNvPicPr/>
                    </pic:nvPicPr>
                    <pic:blipFill>
                      <a:blip xmlns:r="http://schemas.openxmlformats.org/officeDocument/2006/relationships" r:embed="R0d388629e6f04f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321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b69c4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76de4cd-5fc8-4854-87e1-eafc92fd6df1.jpg"/>
                      <pic:cNvPicPr/>
                    </pic:nvPicPr>
                    <pic:blipFill>
                      <a:blip xmlns:r="http://schemas.openxmlformats.org/officeDocument/2006/relationships" r:embed="R61f84aa7a159496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0b29e7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0bdab32b-14a2-486c-88b3-af977ec19681.jpg"/>
                      <pic:cNvPicPr/>
                    </pic:nvPicPr>
                    <pic:blipFill>
                      <a:blip xmlns:r="http://schemas.openxmlformats.org/officeDocument/2006/relationships" r:embed="R659face7b10e490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46d544f3a8649d9" /><Relationship Type="http://schemas.openxmlformats.org/officeDocument/2006/relationships/image" Target="/media/image2.bin" Id="R3a71f344c3e84df9" /><Relationship Type="http://schemas.openxmlformats.org/officeDocument/2006/relationships/image" Target="/media/image3.bin" Id="R0d388629e6f04f8e" /><Relationship Type="http://schemas.openxmlformats.org/officeDocument/2006/relationships/image" Target="/media/image4.bin" Id="R61f84aa7a1594961" /><Relationship Type="http://schemas.openxmlformats.org/officeDocument/2006/relationships/image" Target="/media/image5.bin" Id="R659face7b10e4907" /></Relationships>
</file>