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bin" ContentType="image/jpeg"/>
  <Default Extension="rels" ContentType="application/vnd.openxmlformats-package.relationship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3bbe155c73a94294" /></Relationships>
</file>

<file path=word/document.xml><?xml version="1.0" encoding="utf-8"?>
<w:document xmlns:w="http://schemas.openxmlformats.org/wordprocessingml/2006/main">
  <w:body>
    <w:p>
      <w:pPr>
        <w:jc w:val="right"/>
      </w:pPr>
      <w:r>
        <w:r>
          <w:rPr>
            <w:rFonts w:ascii="Segoe UI" w:hAnsi="Segoe UI" w:eastAsia="Segoe UI"/>
            <w:sz w:val="28"/>
            <w:color w:val="FF0000"/>
          </w:rPr>
          <w:t>淡江時報 第 1212 期</w:t>
        </w:r>
      </w:r>
    </w:p>
    <w:p>
      <w:pPr>
        <w:jc w:val="center"/>
      </w:pPr>
      <w:r>
        <w:r>
          <w:rPr>
            <w:rFonts w:ascii="Segoe UI" w:hAnsi="Segoe UI" w:eastAsia="Segoe UI"/>
            <w:sz w:val="32"/>
            <w:color w:val="000000"/>
            <w:b/>
          </w:rPr>
          <w:t>第202次行政會議 葛校長籲全校共同參與「全雲端智慧校園3.0」</w:t>
        </w:r>
      </w:r>
    </w:p>
    <w:p>
      <w:pPr>
        <w:jc w:val="right"/>
      </w:pPr>
      <w:r>
        <w:r>
          <w:rPr>
            <w:rFonts w:ascii="Segoe UI" w:hAnsi="Segoe UI" w:eastAsia="Segoe UI"/>
            <w:sz w:val="28"/>
            <w:color w:val="888888"/>
            <w:b/>
          </w:rPr>
          <w:t>學校要聞</w:t>
        </w:r>
      </w:r>
    </w:p>
    <w:p>
      <w:pPr>
        <w:jc w:val="left"/>
      </w:pPr>
      <w:r>
        <w:r>
          <w:rPr>
            <w:rFonts w:ascii="Segoe UI" w:hAnsi="Segoe UI" w:eastAsia="Segoe UI"/>
            <w:sz w:val="28"/>
            <w:color w:val="000000"/>
          </w:rPr>
          <w:t>【藍心妤淡水校園報導】第202次行政會議4月11日下午2時，在驚聲國際會議廳擴大舉行，由校長葛煥昭主持，副校長許輝煌、林俊宏、一級主管、學術二級主管、學生代表列席參與，臺北及蘭陽校園同步視訊。
</w:t>
          <w:br/>
          <w:t>葛校長首先說明「全雲端智慧校園3.0」已於春之饗宴宣布啟動，當中涵蓋四大面向，由行政副校長規劃，需要校內各單位與教師共同參與。他特別分享今年2月的全國大專校院校長會議中，本校在校務發展願景「AI+SDGs=∞」的帶領下，永續績效不但受到教育部長鄭英耀肯定，更安排總務長蕭瑞祥報告本校推動節能減碳，以及智慧能源管理系統的作法及成效表現，獲得極大迴響與關注，許多學校紛紛表達想到本校參訪EMS的意願。
</w:t>
          <w:br/>
          <w:t>葛校長接著提出，目前全國的日本境外生數量逐年上升，且日本台灣教育中心設立於淡江，本校應強化日本方面的招生，落實國際化理念；最後，他表示本校在教育部大學社會責任推動中心第四期（2025-2027年）USR個案計畫中通過兩件，其他未通過的計畫更要積極推動與執行，善用募款執行活動計畫，為通過下一期計畫做好準備
</w:t>
          <w:br/>
          <w:t>專題報告首先由稽核長兼校務研究中心主任林彥伶以「AI-Led IR」為題，說明AIIR戰情室的未來規劃、目前校務中心的運作方式、研究議題面向，以及平臺現有的視覺化模組等。未來將基於與台灣微軟和遠傳合作的全雲端智慧校園3.0，希望打造結合即時數據可視化、AI決策輔助及預測模擬的校務數據中台，協助校方團隊即時掌握學校現況，模擬不同政策的成效。
</w:t>
          <w:br/>
          <w:t>人資長張正興則以「未來3年組織人力精簡規劃與進程」為題，說明本校將持續採取謹慎穩健、友善職工的方式，結合教務處預估的學生下降人數比例，進行各單位人力彈性配置；同時透過福利與激勵機制，加速調整人力結構並提升校務發展績效；另將資訊化訓練納入職工考核、調整職員差勤相關規定等措施，更進一步研議增進同仁福利與彈性差勤規定，以及協請諮輔中心增設教職員工諮商輔導機制，營造更友善的工作環境，確保學校永續發展。
</w:t>
          <w:br/>
          <w:t>會中通過3項修正提案，「淡江大學視障資源中心設置辦法」名稱修正為「淡江大學特殊教育資源中心設置辦法」及第一條、第二條修正草案，依據教育部來函要求修正本校組織規程，除中心改隸屬於教務處，並更名為「特殊資源教育中心」，更符合目前服務現況；「淡江大學新進職員甄試辦法」部分條文修正草案、「淡江大學資訊處設置辦法」第三條、第五條修正草案，因應114學年度裁撤前瞻技術組，相關執掌併入資訊處其他相關各組。
</w:t>
          <w:br/>
          <w:t>會前進行頒獎，董事會主任秘書黃文智於112學年度積極推動本校募款業務，匡助良多；企管系教授涂敏芬協助本校榮獲2024台灣永續大學獎「永續報告」金獎，貢獻良多；資訊處遠距中心研究助理季振忠擔任112學年度數位能力稽核員，啟迪有方；體育事務處教授兼體育長陳逸政、教授黃谷臣、副教授兼學動組組長黃貴樹、副教授陳建樺、王豐家、助理教授吳詩薇協助本校榮獲113年度教育部體育署學校體育傳炬獎，績效斐然；黃貴樹於112學年度擔任本校個人資料管理稽核小組稽核員，績效斐然，特頒發獎牌1面以資鼓勵。</w:t>
          <w:br/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4876800" cy="3249168"/>
              <wp:effectExtent l="0" t="0" r="0" b="0"/>
              <wp:docPr id="1" name="IMG_ca63dbfc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2025-04/m\b16cb485-b4fb-4fa5-bc1a-66d6f1366c18.jpg"/>
                      <pic:cNvPicPr/>
                    </pic:nvPicPr>
                    <pic:blipFill>
                      <a:blip xmlns:r="http://schemas.openxmlformats.org/officeDocument/2006/relationships" r:embed="R35f918cfd10d47b5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876800" cy="3249168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4876800" cy="2822448"/>
              <wp:effectExtent l="0" t="0" r="0" b="0"/>
              <wp:docPr id="1" name="IMG_d052f6b7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2025-04/m\aaa34ddc-0033-424a-812f-df1d69f172d1.jpg"/>
                      <pic:cNvPicPr/>
                    </pic:nvPicPr>
                    <pic:blipFill>
                      <a:blip xmlns:r="http://schemas.openxmlformats.org/officeDocument/2006/relationships" r:embed="R50511b0e8c424f46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876800" cy="2822448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4876800" cy="2828544"/>
              <wp:effectExtent l="0" t="0" r="0" b="0"/>
              <wp:docPr id="1" name="IMG_6a33549b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2025-04/m\d24f19eb-1be3-4af9-a59e-cdbe6216b0d2.jpg"/>
                      <pic:cNvPicPr/>
                    </pic:nvPicPr>
                    <pic:blipFill>
                      <a:blip xmlns:r="http://schemas.openxmlformats.org/officeDocument/2006/relationships" r:embed="R1fb29705ec9c4776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876800" cy="2828544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</w:body>
</w:document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/media/image.bin" Id="R35f918cfd10d47b5" /><Relationship Type="http://schemas.openxmlformats.org/officeDocument/2006/relationships/image" Target="/media/image2.bin" Id="R50511b0e8c424f46" /><Relationship Type="http://schemas.openxmlformats.org/officeDocument/2006/relationships/image" Target="/media/image3.bin" Id="R1fb29705ec9c4776" /></Relationships>
</file>