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27bce5d6e149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Tamkang × Skwentex International Sign 2 NT$1-Million Industry-Academia Contracts to Develop Quantum and Customer Service Robots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Skwentex International continues to collaborate with Tamkang University on industry-academia partnerships. On the 25th, Prof. Tzung-Hang Lee—Dean of the Colleges of Engineering, Artificial Innovative Intelligence, and Precision Healthcare—led TKU’s research team to visit Skwentex International. There, they signed two industry-academia contracts with Chairman Andy Chen, an alumnus of the Department of Chemical and Materials Engineering, and Executive Manager Chao-Hsi Yen. The contracts cover research on quantum computing technology and the development of intelligent customer service robots, with each project receiving research funding of NT$1 million.
</w:t>
          <w:br/>
          <w:t>Prof. Lee explained that Skwentex International values Tamkang’s research capabilities in quantum computing and interdisciplinary AI. Following their donation in April last year to establish the “Center for Advanced Quantum Computing” in TKU’s College of Engineering, the company continues to invest in research. The current project focuses on “Hybrid Quantum on Noisy Devices -Classical Machine Learning.” Additionally, with the rapid advancement of large language models (LLMs), the company aims to expand into intelligent customer service by developing an “AI Customer Service Robot for Building Materials.”
</w:t>
          <w:br/>
          <w:t>Both projects are led by Prof. Tzung-Hang Lee and are composed of interdisciplinary research teams. The quantum computing project is co-led by Associate Professor Jun-Yi Wu from the Department of Physics and Professor and Chair Kuo-Chung Yu of the Department of Artificial Intelligence. The intelligent building materials project involves Associate Professor Isaac Yihjia Tsai from the Department of Computer Science and Information Engineering, Professor Seu-Huai Gau from the Department of Water Resources and Environmental Engineering, and Associate Professor Hui-Chiung Lo from the Department of Business Administration.</w:t>
          <w:br/>
        </w:r>
      </w:r>
    </w:p>
    <w:p>
      <w:pPr>
        <w:jc w:val="center"/>
      </w:pPr>
      <w:r>
        <w:r>
          <w:drawing>
            <wp:inline xmlns:wp14="http://schemas.microsoft.com/office/word/2010/wordprocessingDrawing" xmlns:wp="http://schemas.openxmlformats.org/drawingml/2006/wordprocessingDrawing" distT="0" distB="0" distL="0" distR="0" wp14:editId="50D07946">
              <wp:extent cx="4876800" cy="3224784"/>
              <wp:effectExtent l="0" t="0" r="0" b="0"/>
              <wp:docPr id="1" name="IMG_83b87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8761f5d0-2833-4792-b62b-f9eca0763893.jpg"/>
                      <pic:cNvPicPr/>
                    </pic:nvPicPr>
                    <pic:blipFill>
                      <a:blip xmlns:r="http://schemas.openxmlformats.org/officeDocument/2006/relationships" r:embed="R1db5d00ff61d47cd" cstate="print">
                        <a:extLst>
                          <a:ext uri="{28A0092B-C50C-407E-A947-70E740481C1C}"/>
                        </a:extLst>
                      </a:blip>
                      <a:stretch>
                        <a:fillRect/>
                      </a:stretch>
                    </pic:blipFill>
                    <pic:spPr>
                      <a:xfrm>
                        <a:off x="0" y="0"/>
                        <a:ext cx="4876800" cy="32247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34640"/>
              <wp:effectExtent l="0" t="0" r="0" b="0"/>
              <wp:docPr id="1" name="IMG_87dad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885a09b4-1713-47b6-a85c-fff4a5fa35ef.jpg"/>
                      <pic:cNvPicPr/>
                    </pic:nvPicPr>
                    <pic:blipFill>
                      <a:blip xmlns:r="http://schemas.openxmlformats.org/officeDocument/2006/relationships" r:embed="R349b9809df7449c6" cstate="print">
                        <a:extLst>
                          <a:ext uri="{28A0092B-C50C-407E-A947-70E740481C1C}"/>
                        </a:extLst>
                      </a:blip>
                      <a:stretch>
                        <a:fillRect/>
                      </a:stretch>
                    </pic:blipFill>
                    <pic:spPr>
                      <a:xfrm>
                        <a:off x="0" y="0"/>
                        <a:ext cx="4876800" cy="28346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682240"/>
              <wp:effectExtent l="0" t="0" r="0" b="0"/>
              <wp:docPr id="1" name="IMG_6f2d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0034fd59-fd45-4917-bcf3-d2d035e6eb82.jpg"/>
                      <pic:cNvPicPr/>
                    </pic:nvPicPr>
                    <pic:blipFill>
                      <a:blip xmlns:r="http://schemas.openxmlformats.org/officeDocument/2006/relationships" r:embed="R955ca479a15b4e28" cstate="print">
                        <a:extLst>
                          <a:ext uri="{28A0092B-C50C-407E-A947-70E740481C1C}"/>
                        </a:extLst>
                      </a:blip>
                      <a:stretch>
                        <a:fillRect/>
                      </a:stretch>
                    </pic:blipFill>
                    <pic:spPr>
                      <a:xfrm>
                        <a:off x="0" y="0"/>
                        <a:ext cx="4876800" cy="26822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db5d00ff61d47cd" /><Relationship Type="http://schemas.openxmlformats.org/officeDocument/2006/relationships/image" Target="/media/image2.bin" Id="R349b9809df7449c6" /><Relationship Type="http://schemas.openxmlformats.org/officeDocument/2006/relationships/image" Target="/media/image3.bin" Id="R955ca479a15b4e28" /></Relationships>
</file>