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09d28ef05743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Tamkang University Commissioned by the Ministry of Education Again to Assist Universities in Improving Energy Efficiency Measures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has been actively assisting in the "2024 Project for Subsidizing Universities and Colleges to Improve Energy Efficiency Measures," achieving excellent results and earning recognition from the Ministry of Education (MOE). In 2025, MOE once again commissioned Tamkang University to serve as the project office for the advisory team, continuing to assist universities and colleges nationwide in improving existing energy-saving measures and energy systems. The focus is on installing smart meters, implementing Energy Management Systems (EMS), replacing aging heat pump systems, and integrating electricity monitoring data into EMS, supplemented by EMS training courses or related energy-saving initiatives, to strengthen and implement campus energy conservation efforts. The application closed on February 21, with 86 schools submitting applications—a more than 26% growth compared to 68 schools in 2024.
</w:t>
          <w:br/>
          <w:t>The project aims to encourage universities and colleges to build smart metering and EMS, allowing for more precise monitoring of electricity usage across different areas of campus, helping schools identify energy-saving opportunities and improve overall energy efficiency. It also provides subsidies for other energy-saving measures and education initiatives to foster a culture of energy conservation on campuses and achieve substantial savings. This year, the project expanded to include subsidies for energy-labeled certified heat pump systems and the replacement and consolidation of aging high-voltage transformers to improve power efficiency, enhance system stability and reliability, and reduce the safety risks and energy waste caused by aging equipment.
</w:t>
          <w:br/>
          <w:t>In February this year, Dean of General Affairs, Prof. Ruey-Shiang Shaw, as co-host of the project, shared Tamkang University’s achievements in energy conservation and smart energy management under the leadership of Chairperson Flora Chia-I Chang and President Huan-Chao Keh at the National University Presidents’ Conference. His presentation received strong affirmation from Minister of Education Ying-Yao Cheng and sparked enthusiastic responses from many universities expressing interest in visiting Tamkang to learn about its EMS implementation. Shaw noted that during last year's project execution, some schools suggested adding subsidies for installing heat pump systems. This year, in response, MOE expanded the subsidy scope to include heat pumps and transformer replacements, enabling schools to further enhance electricity efficiency and review the rationality of electricity usage. Additionally, additional subsidy amounts are available for classrooms, dormitories, or research labs that install intelligent air conditioning control systems, such as Programmable Logic Controllers (PLC) or other control devices. Shaw expressed his hope that the project will more effectively assist applicant schools in promoting energy conservation and carbon reduction, working together toward the 2050 net-zero carbon emissions goal.
</w:t>
          <w:br/>
          <w:t>Since 2006, Tamkang University has invested in building its EMS, and in recent years, it has further upgraded interfaces and expanded functions by introducing AI-powered electricity usage prediction modules. Upholding its vision of "AI+SDGs=∞" and "ESG+AI=∞," the university is advancing through dual-axis transformation in AI and sustainability toward the goals of a "green campus" and "sustainable development." Its achievements in energy conservation and sustainability have been widely recognized, including the Gold Award at the Ministry of Economic Affairs' Energy Saving Benchmark Awards in 2022, the National Sustainable Development Award (Education Category) from the Executive Yuan’s National Council for Sustainable Development in 2023, and honors at the 2024 Taiwan Sustainable University Awards, winning both the "Top 10 Outstanding Universities Award" and the "Environmental Leadership Award" in the sustainable performance category. Tamkang’s continued success in supporting universities nationwide to improve their energy-saving measures is well deserved.</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2ad50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49276a6-88ab-4e8a-b0e6-c583451e82d6.jpg"/>
                      <pic:cNvPicPr/>
                    </pic:nvPicPr>
                    <pic:blipFill>
                      <a:blip xmlns:r="http://schemas.openxmlformats.org/officeDocument/2006/relationships" r:embed="R79741bee0d414de3"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3acd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32224a0-2e02-4523-a305-e30ab3532241.jpg"/>
                      <pic:cNvPicPr/>
                    </pic:nvPicPr>
                    <pic:blipFill>
                      <a:blip xmlns:r="http://schemas.openxmlformats.org/officeDocument/2006/relationships" r:embed="R68aca1e722fb4307"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32176"/>
              <wp:effectExtent l="0" t="0" r="0" b="0"/>
              <wp:docPr id="1" name="IMG_1e6e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f9c7784-7309-4f90-a4e7-3e757f94d1cc.jpg"/>
                      <pic:cNvPicPr/>
                    </pic:nvPicPr>
                    <pic:blipFill>
                      <a:blip xmlns:r="http://schemas.openxmlformats.org/officeDocument/2006/relationships" r:embed="Rc83e016e5aba4657" cstate="print">
                        <a:extLst>
                          <a:ext uri="{28A0092B-C50C-407E-A947-70E740481C1C}"/>
                        </a:extLst>
                      </a:blip>
                      <a:stretch>
                        <a:fillRect/>
                      </a:stretch>
                    </pic:blipFill>
                    <pic:spPr>
                      <a:xfrm>
                        <a:off x="0" y="0"/>
                        <a:ext cx="4876800" cy="29321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d9684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276de4cd-5fc8-4854-87e1-eafc92fd6df1.jpg"/>
                      <pic:cNvPicPr/>
                    </pic:nvPicPr>
                    <pic:blipFill>
                      <a:blip xmlns:r="http://schemas.openxmlformats.org/officeDocument/2006/relationships" r:embed="Rdd529dd3b3f3416e"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b1a3a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0bdab32b-14a2-486c-88b3-af977ec19681.jpg"/>
                      <pic:cNvPicPr/>
                    </pic:nvPicPr>
                    <pic:blipFill>
                      <a:blip xmlns:r="http://schemas.openxmlformats.org/officeDocument/2006/relationships" r:embed="Rd18885213e814006"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9741bee0d414de3" /><Relationship Type="http://schemas.openxmlformats.org/officeDocument/2006/relationships/image" Target="/media/image2.bin" Id="R68aca1e722fb4307" /><Relationship Type="http://schemas.openxmlformats.org/officeDocument/2006/relationships/image" Target="/media/image3.bin" Id="Rc83e016e5aba4657" /><Relationship Type="http://schemas.openxmlformats.org/officeDocument/2006/relationships/image" Target="/media/image4.bin" Id="Rdd529dd3b3f3416e" /><Relationship Type="http://schemas.openxmlformats.org/officeDocument/2006/relationships/image" Target="/media/image5.bin" Id="Rd18885213e814006" /></Relationships>
</file>