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931620d8334f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中文系通俗武俠小說研究室與僑委會合作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本校中文系「通俗武俠小說研究室」與行政院僑務委員會合作，架設了「中華武俠文化網站」（http://203.160.244.112/kungfu/index.htm），網站內容包含了多年來搜集的武俠相關資訊以及研究成果，藉此宣揚中國武俠文化的傳統，及尚武精神，開站以來廣受海內外華人歡迎。
</w:t>
          <w:br/>
          <w:t>
</w:t>
          <w:br/>
          <w:t>　該網站內容由中文系通俗武俠小說研究室林保淳、黃復山兩位教授負責規劃，英文版部分由陳大道老師與兩位外國老師所編輯。該網頁共分為歷史卷、名義卷、名家精華卷、社會卷、互動卷、捷徑入門六部分，主要介紹中國古代俠義小說簡史、民初舊派武俠小說、台灣與香港新派武俠、說武論俠、說功夫、武俠小說電影電視、武俠說與漫畫、武俠說與電玩、武俠小說與中藥醫理、武俠小說與傳統學術、武俠小說與江湖門派等等探討專區，另外還有討論區與解惑區，尤其名家精華卷裡特別介紹金庸、古龍、臥龍生、司馬翎、溫瑞安、奇儒、黃易等多位知名小說家，十八般兵器精品圖鑑更收集了奇美博物館的兵器、故宮的青銅器兵器，同時也介紹陳天陽先生的鑄劍刀藝與王度先生美術刀劍，內容十分精采豐富，古代與現代相結合。
</w:t>
          <w:br/>
          <w:t>
</w:t>
          <w:br/>
          <w:t>　此次僑委會也將準備印製光碟版與網路版兩種版本，中文版與英文版將分別印製一萬片分送給海外僑胞，林保淳老師表示：「整個中華武俠文化網站的完成，對於想要研究武俠文化的後學將是一個非常可貴的資料庫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70432" cy="877824"/>
              <wp:effectExtent l="0" t="0" r="0" b="0"/>
              <wp:docPr id="1" name="IMG_e932ee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56/m\f301d443-a465-469b-b1cf-c0f4a774f0a3.jpg"/>
                      <pic:cNvPicPr/>
                    </pic:nvPicPr>
                    <pic:blipFill>
                      <a:blip xmlns:r="http://schemas.openxmlformats.org/officeDocument/2006/relationships" r:embed="R5318c2c00c2f4b7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70432" cy="8778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318c2c00c2f4b7f" /></Relationships>
</file>