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d112633b20a48d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1217 期</w:t>
        </w:r>
      </w:r>
    </w:p>
    <w:p>
      <w:pPr>
        <w:jc w:val="center"/>
      </w:pPr>
      <w:r>
        <w:r>
          <w:rPr>
            <w:rFonts w:ascii="Segoe UI" w:hAnsi="Segoe UI" w:eastAsia="Segoe UI"/>
            <w:sz w:val="32"/>
            <w:color w:val="000000"/>
            <w:b/>
          </w:rPr>
          <w:t>[Department Spotlight] Chief Editor Jong-Shenq Guo’s Tamkang Journal of Mathematics Becomes Taiwan’s Only JCR Q2-Ranked Journal</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Tamkang Journal of Mathematics, the international mathematics journal of the Department of Mathematics, edited by Dr. Jong-Shenq Guo, the sole Distinguished Research Chair Professor from the Department of Applied Mathematics and Data Science at Tamkang University, has been ranked as a Q2 journal in the 2023 Journal Citation Reports (JCR). With an impact factor of 0.7, it is currently the only mathematics journal published in Taiwan to reach Q2 status, marking it as the top-ranked in Taiwan.
</w:t>
          <w:br/>
          <w:t>Professor Guo, who also serves as the Director of the Center for Mathematical Biology, noted that only four mathematics journals from Taiwan are currently indexed in JCR: Tamkang Journal of Mathematics, Taiwanese Journal of Mathematics (published by the Mathematical Society of the Republic of China), Applied Mathematics E-Notes (from National Tsing Hua University), and Bulletin of the Institute of Mathematics Academia Sinica New Series (from Institute of Mathematics, Academia Sinica). Among the 491 mathematics journals included in JCR, Tamkang ranks 199th. Among the 157 mathematics journals listed in ESCI (Emerging Sources Citation Index), it ranks 34th, the highest among all the mathematics journals in Taiwan.
</w:t>
          <w:br/>
          <w:t>Founded in 1970 by the Department of Mathematics at Tamkang University, Tamkang Journal of Mathematics was initially published semiannually and switched to a quarterly schedule in 1985. The journal aims to foster academic exchange between domestic and international researchers by publishing high-quality original papers in both pure mathematics and applied mathematics. Having served as editor-in-chief for nine years, Professor Guo explained that top-tier journals typically have high rejection rates. Under his leadership, submitted manuscripts are carefully screened and sent to external editors specializing in relevant fields worldwide. However, challenges such as the lack of available reviewers or topics that have already been extensively studied may arise. The journal typically maintains a rejection rate of 70% to 80%.
</w:t>
          <w:br/>
          <w:t>Reflecting on the journal’s recent achievements, Professor Guo said he immediately notified editorial board members at home and abroad upon receiving the news. Looking ahead, he expressed hope: “We are currently indexed in ESCI, and this is only the second year the journal has received an impact factor. I hope we can advance into SCIE (Science Citation Index Expanded) in the near future.”</w:t>
          <w:br/>
        </w:r>
      </w:r>
    </w:p>
    <w:p>
      <w:pPr>
        <w:jc w:val="center"/>
      </w:pPr>
      <w:r>
        <w:r>
          <w:drawing>
            <wp:inline xmlns:wp14="http://schemas.microsoft.com/office/word/2010/wordprocessingDrawing" xmlns:wp="http://schemas.openxmlformats.org/drawingml/2006/wordprocessingDrawing" distT="0" distB="0" distL="0" distR="0" wp14:editId="50D07946">
              <wp:extent cx="4876800" cy="3749040"/>
              <wp:effectExtent l="0" t="0" r="0" b="0"/>
              <wp:docPr id="1" name="IMG_e2c9c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91937302-9227-417a-8b29-c404bb57c9ef.jpg"/>
                      <pic:cNvPicPr/>
                    </pic:nvPicPr>
                    <pic:blipFill>
                      <a:blip xmlns:r="http://schemas.openxmlformats.org/officeDocument/2006/relationships" r:embed="R86cdf4cd16784af4" cstate="print">
                        <a:extLst>
                          <a:ext uri="{28A0092B-C50C-407E-A947-70E740481C1C}"/>
                        </a:extLst>
                      </a:blip>
                      <a:stretch>
                        <a:fillRect/>
                      </a:stretch>
                    </pic:blipFill>
                    <pic:spPr>
                      <a:xfrm>
                        <a:off x="0" y="0"/>
                        <a:ext cx="4876800" cy="374904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62528"/>
              <wp:effectExtent l="0" t="0" r="0" b="0"/>
              <wp:docPr id="1" name="IMG_b3738c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74f220cc-a86e-44fd-b3ba-a42d299304af.jpg"/>
                      <pic:cNvPicPr/>
                    </pic:nvPicPr>
                    <pic:blipFill>
                      <a:blip xmlns:r="http://schemas.openxmlformats.org/officeDocument/2006/relationships" r:embed="Rc6873d058d6c4989" cstate="print">
                        <a:extLst>
                          <a:ext uri="{28A0092B-C50C-407E-A947-70E740481C1C}"/>
                        </a:extLst>
                      </a:blip>
                      <a:stretch>
                        <a:fillRect/>
                      </a:stretch>
                    </pic:blipFill>
                    <pic:spPr>
                      <a:xfrm>
                        <a:off x="0" y="0"/>
                        <a:ext cx="4876800" cy="346252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6cdf4cd16784af4" /><Relationship Type="http://schemas.openxmlformats.org/officeDocument/2006/relationships/image" Target="/media/image2.bin" Id="Rc6873d058d6c4989" /></Relationships>
</file>