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fc5d780bb46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涂敏芬 許程閔 引領教職員生掌握永續報告書識讀要領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為提升教職員工對永續報告書的理解力與識讀能力，永續發展與社會創新中心韌性治理組6月10日上午11時，在HC305舉辦永續管理師培訓課程「淡江2023永續報告書「翻。易」識讀工作坊」，邀請《2023淡江大學永續報告書》總編輯、企管系教授涂敏芬與企管系校友許程閔進行講解，協助大家掌握永續報告書的閱讀與解讀技巧，各單位永續管理師，及有興趣的教職員生近60人參與。
</w:t>
          <w:br/>
          <w:t>涂敏芬首先指出，永續報告書雖篇幅龐大，但透過正確的「識讀」方法，即可快速瞭解其核心內容。她強調，只要掌握一定的閱讀邏輯與技巧，便能「讀懂一本，就能讀懂十本、百本」，這也是「翻。易」工作坊名稱的由來。該工作坊以實務導向方式引導大家，將閱讀應用於校園治理與教學場域，以呼應永續發展趨勢。
</w:t>
          <w:br/>
          <w:t>談及報告書的價值與應用層面，涂敏芬表示，永續報告書是由組織公開呈現其永續策略、行動與成效的正式文件，不僅能傳達理念、展現承諾，也在產學合作、競賽申請、研究規劃等方面具高度參考性，再加上該書亦為企業或學校的正式文件，能凸顯機構的真正價值、理念與行動。
</w:t>
          <w:br/>
          <w:t>許程閔則先運用「Kahoot!」，協助與會者透過遊戲方式，引導永續管理師們複習永續報告書的內容，同時引導首次參與者認識永續報告書，接著深入解析永續報告書的結構與判讀方法，他說明理解一本永續報告書的內容關鍵，在於掌握四個核心概念，分別是「辨別利害關係人」、「排序重大主題」、「鑑別正面或負面衝擊」與「揭露盡職調查潛在或實際影響」。透過這四個步驟，讀者即可明確掌握報告書中所關注的核心議題，並有效地釐清組織年度重點工作與其社會或環境的影響程度。
</w:t>
          <w:br/>
          <w:t>他接著以本校2023年度永續報告書為例，說明其採用了「GOeES」作為整體策略架構，分別代表G（Governance）：韌性治理、O（Operation）：校務運營、e（Education）：人才培育、E：（Environment）環境永續與S：（Society）社會共融。這套系統化框架不僅可作為報告書編製的主軸，也可幫助讀者釐清本校永續發展藍圖。他也特別建議，在閱讀報告書時，應從目錄與章節架構切入，再翻閱附錄中的GRI指標對照表，便能有效掌握報告內容重點與相關指標。
</w:t>
          <w:br/>
          <w:t>最後涂敏芬則介紹如何用「影響力」來解讀永續報告書的行動設計，她以「社會投資報酬率」（SROI）作為分析工具，強調須從四個面向思考影響力的真實性與延續性，包括透過需求分析和創新設計降低「無謂因子」所造成的貢獻模糊、強化內部資源協作以減少「移轉因子」所產生的排擠效果、設立明確貢獻指標「歸因因子」以驗證成果性，以及消弭「衰退因子」導致的短期效益流失，以確保影響力能長期發揮等。她強調，一份高品質的永續報告書，應在這四個層面皆有策略設計與成效展現，才能真正地「放大影響力」，並體現永續教育與社會影響力的價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9184d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2f43c2c-6330-40bc-867f-9f7f370613fc.jpeg"/>
                      <pic:cNvPicPr/>
                    </pic:nvPicPr>
                    <pic:blipFill>
                      <a:blip xmlns:r="http://schemas.openxmlformats.org/officeDocument/2006/relationships" r:embed="R0dca416016cc4a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fd79e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7001e02-8163-4994-98e0-b9b0eb44db54.jpeg"/>
                      <pic:cNvPicPr/>
                    </pic:nvPicPr>
                    <pic:blipFill>
                      <a:blip xmlns:r="http://schemas.openxmlformats.org/officeDocument/2006/relationships" r:embed="R07a85fef19b74b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3549c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e04473a-3dfa-429d-903e-476c878289d0.jpeg"/>
                      <pic:cNvPicPr/>
                    </pic:nvPicPr>
                    <pic:blipFill>
                      <a:blip xmlns:r="http://schemas.openxmlformats.org/officeDocument/2006/relationships" r:embed="Ra04c421604b246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a0183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3fc15b4-4e18-48cb-9bfb-9f2b6301489f.jpeg"/>
                      <pic:cNvPicPr/>
                    </pic:nvPicPr>
                    <pic:blipFill>
                      <a:blip xmlns:r="http://schemas.openxmlformats.org/officeDocument/2006/relationships" r:embed="R4add9f08a5b041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ca416016cc4a23" /><Relationship Type="http://schemas.openxmlformats.org/officeDocument/2006/relationships/image" Target="/media/image2.bin" Id="R07a85fef19b74bb1" /><Relationship Type="http://schemas.openxmlformats.org/officeDocument/2006/relationships/image" Target="/media/image3.bin" Id="Ra04c421604b246ef" /><Relationship Type="http://schemas.openxmlformats.org/officeDocument/2006/relationships/image" Target="/media/image4.bin" Id="R4add9f08a5b041ab" /></Relationships>
</file>