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30e4e71759154008"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1222 期</w:t>
        </w:r>
      </w:r>
    </w:p>
    <w:p>
      <w:pPr>
        <w:jc w:val="center"/>
      </w:pPr>
      <w:r>
        <w:r>
          <w:rPr>
            <w:rFonts w:ascii="Segoe UI" w:hAnsi="Segoe UI" w:eastAsia="Segoe UI"/>
            <w:sz w:val="32"/>
            <w:color w:val="000000"/>
            <w:b/>
          </w:rPr>
          <w:t>TKU Reaches Full Enrollment, Welcomes Nation’s Largest Freshman Class, Pioneers Annual Health Checkups to Support Student Well-Being and Learning</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results of the 2025 Academic Year College Admission by Examination and Placement have brought exciting news to Tamkang University. All 51 departments and degree programs, including the newly merged Department of European Languages and Cultures and Department of Economics, the renamed Department of Statistics and Data Science, and the newly established All-English Bachelor’s Program in Business Administration, have successfully reached full enrollment. A total of 4,145 new freshmen, the highest number among universities nationwide, will soon join the Tamkang family as the university marks its 75th anniversary. Tamkang is fully prepared to welcome this new milestone, not only by providing an enhanced learning environment but also by pioneering Taiwan’s first-ever annual free health check program for all students, ensuring they can learn in good health and achieve even better academic outcomes.
</w:t>
          <w:br/>
          <w:t>President Huan-Chao Keh emphasized that Tamkang has always prioritized “delivering progressive, market-leading quality education to cultivate students’ future career competitiveness.” Guided by the principle of “Education for the Future”, the university actively identifies trends and sets forward-looking goals, while practicing “Future Education” to implement them. Since 2019, Tamkang has vigorously advanced digital and net-zero transformations, supported by its Triple Objectives of Globalization, Information-oriented Education, and Future-oriented Education, as well as its hallmark Three Circles and Five Disciplines. This foundation enables students to strengthen their knowledge of AI and the SDGs, apply them across disciplines, and develop into versatile, cross-domain talents with enhanced career competitiveness.
</w:t>
          <w:br/>
          <w:t>In recent years, Tamkang University has pursued its vision of “AI+SDGs=∞” and “ESG+AI=∞”, achieving outstanding results. These include ranking first among comprehensive universities nationwide for 3 consecutive years in the Teaching Practice Research Program approvals, being named the top private university for 28 consecutive years in CommonWealth Magazine’s “Most Favored Graduates by Enterprises” survey, holding the top spot for 8 consecutive years among private universities in humanities and social sciences in Global Views Monthly Magazine’s “Best Universities in Taiwan” rankings, and being listed within the world’s top 100 in selected indicators of the 2025 THE Impact Rankings and U.S. News &amp; World Report.
</w:t>
          <w:br/>
          <w:t>On the learning environment front, Tamkang has been a pioneer since 2020, partnering with Microsoft Taiwan to build the nation’s first all-cloud smart campus. In 2022, it collaborated with FarEasTone Telecom to launch the 5G Smart Campus 2.0, and in 2025, both parties jointly initiated the “Y2025 All-Cloud Smart Campus 3.0” project. This initiative focuses on developing an AI Knowledge Application Platform to assist both teaching and learning, enhance student employability, and integrate AI tools to optimize teaching quality and experience, establishing a truly student-centered learning model. More recently, Tamkang partnered with Foxconn Technology Group, Cardinal Tien Hospital System, and FriendaiotProperty Medical Equipment Property Management Consulting Company to formally launch an annual free health check program for all students, working together to promote student health and well-being.
</w:t>
          <w:br/>
          <w:t>Tamkang students continue to excel across diverse fields, further enhancing the university’s reputation. Highlights include: record-high approvals in the National Science and Technology Council’s College Student Research Program for 3 consecutive years; the Department of Aerospace Engineering winning the top Titanium Award at the 2025 7th Green Idea Invention and Design Fair; the Departments of Electrical Engineering and AI jointly claiming 21 awards at the 2025 International Intelligent RobotSports Cup; the Department of Mass Communication earning top honors in the University News Award Short Video category and the Taipower National Collegiate Environmental &amp; Sustainability Reporting Award; the Department of Information &amp; Communication winning the National Service Innovation Cross-Disciplinary Co-Creation Competition Gold Award and the Global Chinese Educational Game Design Grand Prize, with student Guan-Ting Lin also taking the Shin Kong Mitsukoshi International Photography Contest Grand Prize. Meanwhile, 4 students in Banking and Finance—Ting-Yi Chu, Yi-Hsuan Hung, Chung-Kai Lin, and Liang-Yu Lai—were simultaneously admitted to University College London (UCL). In addition, the Robotics Research Club and the Wind Band were both awarded “Excellence” for the second consecutive year at the National College Student Club Evaluation and Exhibition, inspiring new freshmen to learn from and surpass their role models.</w:t>
          <w:br/>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5f5ba9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5d7853a7-0454-4800-ac58-2d3f41677708.jpg"/>
                      <pic:cNvPicPr/>
                    </pic:nvPicPr>
                    <pic:blipFill>
                      <a:blip xmlns:r="http://schemas.openxmlformats.org/officeDocument/2006/relationships" r:embed="Rd6f3918781914238" cstate="print">
                        <a:extLst>
                          <a:ext uri="{28A0092B-C50C-407E-A947-70E740481C1C}"/>
                        </a:extLst>
                      </a:blip>
                      <a:stretch>
                        <a:fillRect/>
                      </a:stretch>
                    </pic:blipFill>
                    <pic:spPr>
                      <a:xfrm>
                        <a:off x="0" y="0"/>
                        <a:ext cx="4876800" cy="3480816"/>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d6f3918781914238" /></Relationships>
</file>