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fce647d7b492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推動性平教育成果卓越 本校獲教育部書審績優肯定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本校於「114年度學特司書審項目三－大專校院推動性別平等教育工作辦理情形」中，展現性平工作的豐碩成果，除獲得年度績優學校前三名，更受邀至教育部主辦的「114年度全國大專校院性別平等教育委員會運作傳承及座談會」中進行成果分享，由秘書長兼性別平等教育委員會執行祕書馬雨沛分享書審經驗。
</w:t>
          <w:br/>
          <w:t>馬雨沛說明，本校前次接受書審為109年度，近年來歷經人事更迭，為使推動書審作業順利進行，首先針對109年度與114年度的書審項目進行比對，並使用共編系統與推動單位相互溝通並進行資料彙整，及善用校內媒體《淡江時報》豐富佐證資料。她表示，本校自1992年引進全面品質管理（TQM）以來，全員參與成為核心精神，同仁積極並妥善運用PDCA循環（計畫Plan、執行Do、檢查Check、行動Act）在性平業務推動上持續改進。
</w:t>
          <w:br/>
          <w:t>「114年度全國大專校院性別平等教育委員會運作傳承及座談會」於10月1至2日在國立中興大學惠蓀林場舉行，「114年度學特司書審項目三－大專校院推動性別平等教育工作辦理情形」績優學校前三名分別為淡江大學、中國文化大學與中國醫藥大學，均在座談會中分享書審相關經驗與心得，並與各大專校院代表進行交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13760"/>
              <wp:effectExtent l="0" t="0" r="0" b="0"/>
              <wp:docPr id="1" name="IMG_ed9678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283d6eb5-f10e-444b-9c7d-d6be56cda693.jpg"/>
                      <pic:cNvPicPr/>
                    </pic:nvPicPr>
                    <pic:blipFill>
                      <a:blip xmlns:r="http://schemas.openxmlformats.org/officeDocument/2006/relationships" r:embed="Rf67188320b39417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13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08960"/>
              <wp:effectExtent l="0" t="0" r="0" b="0"/>
              <wp:docPr id="1" name="IMG_192edad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06a2bd9a-7760-4829-bd80-084362f621ec.jpg"/>
                      <pic:cNvPicPr/>
                    </pic:nvPicPr>
                    <pic:blipFill>
                      <a:blip xmlns:r="http://schemas.openxmlformats.org/officeDocument/2006/relationships" r:embed="R050bca496e8741e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08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67188320b39417c" /><Relationship Type="http://schemas.openxmlformats.org/officeDocument/2006/relationships/image" Target="/media/image2.bin" Id="R050bca496e8741e3" /></Relationships>
</file>