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5ebb84cb1f642b1"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1223 期</w:t>
        </w:r>
      </w:r>
    </w:p>
    <w:p>
      <w:pPr>
        <w:jc w:val="center"/>
      </w:pPr>
      <w:r>
        <w:r>
          <w:rPr>
            <w:rFonts w:ascii="Segoe UI" w:hAnsi="Segoe UI" w:eastAsia="Segoe UI"/>
            <w:sz w:val="32"/>
            <w:color w:val="000000"/>
            <w:b/>
          </w:rPr>
          <w:t>Teaching and Administrative Innovation Seminar Fosters Consensus on “Education for the Future and Future Education”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“2025 Academic Year Teaching and Administrative Innovation Seminar” was held at the Chang You Lan Hall, Hsu Shou-Chlien International Conference Center, at 9:00 a.m. on September 20. More than 300 attendees participated, including President Huan-Chao Keh, Chairperson Flora Chia-I Chang, the three Vice Presidents, and first- and second-level supervisors, under the theme “AI+SDGs=∞: From Education for the Future to Future Education.”
</w:t>
          <w:br/>
          <w:t>Chairperson Chang noted in her remarks that the seminar’s theme highlights the need for education to adapt to global trends, proposing a new vision and strategy. She emphasized that Tamkang University will continue to promote “Future Education,” cultivating students' future literacies—imagination, foresight, and governance capability—as part of its mission for sustainable development.
</w:t>
          <w:br/>
          <w:t>In his address, President Keh stated that the theme aligns with the fast-developing global landscape. He recalled that since 2019, Tamkang University has promoted the institutional vision “AI+SDGs=∞”, which is now formally registered as a trademark, demonstrating the University’s forward-looking approach to educational innovation. He emphasized that in the coming decade, AI and the SDGs will remain key terms for both education and industry, and the University will center its efforts on cultivating students with cross-domain literacies and future competitiveness.
</w:t>
          <w:br/>
          <w:t>The first keynote lecture was delivered by former Minister of Education and Distinguished Chair Professor Ching-Ji Wu of the Department of Education and Futures Design, under the title “From Education for the Future to Future Education.” He highlighted the educational vision “AI+SDGs=∞,” discussed the evolution of education and the use of AI technologies in future education, and argued that in the transition from Education 1.0 to 5.0, the combination of AI and SDGs will become the core driver of educational development. He stated that this transformation not only reshapes the roles of learners and educators but also reinforces the importance of academic ethics and interdisciplinary collaboration. Beyond the responsibilities of a single educational department, he emphasized the need to build a cross-sectoral educational ecosystem grounded in sustainability and future development, thereby driving the global education system toward an intelligent, sustainable, and human-centered future. He commended the university, under the leadership of Founder Dr. Clement C. P. Chang and Chairperson Dr. Flora Chia-I Chang, for establishing and continuing Taiwan’s practice of future education.
</w:t>
          <w:br/>
          <w:t>In the “Education for the Future” lecture series, Vice President for Academic Affairs Hui-Huang Hsu spoke on “Sustainability in the AI Era: Cultivating Future Talent,” delving into the challenges that AI poses for higher education and identifying that future talent must possess digital literacy, human–machine collaboration skills, and cross-domain integration abilities. He noted that higher education faces 12 major challenges—recruitment issues, rising costs, etc.—and that AI technology must become a key solution to drive educational reform and prepare students for future change.
</w:t>
          <w:br/>
          <w:t>Vice President for Administrative Affairs Chun-Hung Lin, with his talk titled “Intelligent Governance for Sustainable Resilience: Educating and Governing for the Future,” pointed out the governance challenges facing universities in global change, especially under conditions of declining birthrates, globalization, and rapid AI application, and proposed that AI is key to enhancing administrative efficiency and decision-making quality. He then introduced the reform direction of integrating smart systems, sustainability, and resilient governance, indicating that governance will incorporate ESG (Environment, Social, Governance) thinking to advance university governance and sustainable development, achieve green transformation, and fulfill social responsibility.
</w:t>
          <w:br/>
          <w:t>Vice President for International Affairs Hsiao-Chuan Chen, addressing “Smart Leading International Affairs Toward a Sustainable Future,” focused on how international education can continue to evolve and strategic planning related to teaching and employment support optimization for international students. She also mentioned that AI technology will enhance international education efficiency, emphasizing the importance of global knowledge sharing and cross-cultural collaboration. She stated that expanding English-taught instruction is not only a tool to recruit international students but also an opportunity to build new partnerships and cultivate students’ world-citizen mindset.
</w:t>
          <w:br/>
          <w:t>The “Future Education” series of lectures comprised 6 themes—future campus, future teaching, future learning, future industry-academia, future student affairs &amp; counselling, and future service—delivered respectively by: Chief Information Officer Kuei-Ping Shih on “Smart Campus Driven by AI + SDGs”; Dean of Academic Affairs Tzong-Ru Tsai on “Smart Teaching Design to Enhance Learning Outcomes”; Director of the Counseling, Career Development and Learning Center, Hung-Yen Sung on “AI-Technology Collaborative Co-creation for Learning Transformation”; Dean of Science Hung-Chung Hsueh on “Smart Sustainability Leading Industry–Academia Integrated Future”; Dean of Student Affairs Wu Shih-Rong on “Innovative Smart Student Affairs for Sustainable Resilience”; Dean of General Affairs Ruey-Shiang Shaw on “Building a Sustainable Campus, Forging the Future of Environmental Education”.
</w:t>
          <w:br/>
          <w:t>Breakout group discussions were hosted by the three Vice Presidents, and each reported the results. VP Hsu, addressing the topic “How to Integrate AI and Sustainability to Shape a New Model for Cross-Disciplinary Talent Cultivation,” noted that department chairs shared their views on integrating AI into curricula, making course adjustments and revising assessment methods, and further discussed how the role of teachers should be redefined in response to the evolving landscape of AI and sustainability. VP Lin led the session on “Building a Sustainable Campus of Resilient Governance and Smart Administration,” sharing how administrative units apply AI in their operations and proposing strategies to achieve new values in sustainable development and governance, thereby framing resilient governance to meet emerging challenges. VP Chen addressed “International Affairs Driven by AI and Sustainability,” offering suggestions for future education in international exchange, digital learning, cross-domain sustainability, multilingual intelligence, faculty exchange, and academic diplomacy. She also noted that cultivating world citizens should emphasize critical thinking, igniting passion, practice, and independent reflection.
</w:t>
          <w:br/>
          <w:t>“The results of today’s group discussions will not remain as slogans or phatic expressions, but will be transformed into real, actionable, and implementable plans,” President Keh emphasized in his closing remarks. He urged that, within the next three years, concrete action plans should be developed based on the conclusions reached to ensure the effective integration of AI and education. Chairperson Chang further reminded that, following the conference, today’s discussion content should be integrated into short-, medium-, and long-term planning to execute more effectively.</w:t>
          <w:br/>
        </w:r>
      </w:r>
    </w:p>
    <w:p>
      <w:pPr>
        <w:jc w:val="center"/>
      </w:pPr>
      <w:r>
        <w:r>
          <w:drawing>
            <wp:inline xmlns:wp14="http://schemas.microsoft.com/office/word/2010/wordprocessingDrawing" xmlns:wp="http://schemas.openxmlformats.org/drawingml/2006/wordprocessingDrawing" distT="0" distB="0" distL="0" distR="0" wp14:editId="50D07946">
              <wp:extent cx="4876800" cy="2627376"/>
              <wp:effectExtent l="0" t="0" r="0" b="0"/>
              <wp:docPr id="1" name="IMG_aa90d4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e5d92c68-c4ca-4f48-ac86-ab01669158a0.jpg"/>
                      <pic:cNvPicPr/>
                    </pic:nvPicPr>
                    <pic:blipFill>
                      <a:blip xmlns:r="http://schemas.openxmlformats.org/officeDocument/2006/relationships" r:embed="R86be7d9e031f4f86" cstate="print">
                        <a:extLst>
                          <a:ext uri="{28A0092B-C50C-407E-A947-70E740481C1C}"/>
                        </a:extLst>
                      </a:blip>
                      <a:stretch>
                        <a:fillRect/>
                      </a:stretch>
                    </pic:blipFill>
                    <pic:spPr>
                      <a:xfrm>
                        <a:off x="0" y="0"/>
                        <a:ext cx="4876800" cy="262737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05d06b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a8f8d10e-acdc-47e2-b0f5-ca052de4c155.jpg"/>
                      <pic:cNvPicPr/>
                    </pic:nvPicPr>
                    <pic:blipFill>
                      <a:blip xmlns:r="http://schemas.openxmlformats.org/officeDocument/2006/relationships" r:embed="R07adcac58832462c"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cd229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725d7800-3249-4819-8540-3b7aeff183f2.jpg"/>
                      <pic:cNvPicPr/>
                    </pic:nvPicPr>
                    <pic:blipFill>
                      <a:blip xmlns:r="http://schemas.openxmlformats.org/officeDocument/2006/relationships" r:embed="R668ad841f67443f5"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bdcc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0a8249fa-ecc5-4eb2-9fc3-ad1ec4f2dd91.jpg"/>
                      <pic:cNvPicPr/>
                    </pic:nvPicPr>
                    <pic:blipFill>
                      <a:blip xmlns:r="http://schemas.openxmlformats.org/officeDocument/2006/relationships" r:embed="R4f09b5facb34410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444496"/>
              <wp:effectExtent l="0" t="0" r="0" b="0"/>
              <wp:docPr id="1" name="IMG_304f28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d14217f3-d005-4e07-8698-3fc5c6c4f0aa.jpg"/>
                      <pic:cNvPicPr/>
                    </pic:nvPicPr>
                    <pic:blipFill>
                      <a:blip xmlns:r="http://schemas.openxmlformats.org/officeDocument/2006/relationships" r:embed="R74200a6a95224b6d" cstate="print">
                        <a:extLst>
                          <a:ext uri="{28A0092B-C50C-407E-A947-70E740481C1C}"/>
                        </a:extLst>
                      </a:blip>
                      <a:stretch>
                        <a:fillRect/>
                      </a:stretch>
                    </pic:blipFill>
                    <pic:spPr>
                      <a:xfrm>
                        <a:off x="0" y="0"/>
                        <a:ext cx="4876800" cy="244449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6738fb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384e1da5-3bb8-4576-9940-61624af06d99.jpg"/>
                      <pic:cNvPicPr/>
                    </pic:nvPicPr>
                    <pic:blipFill>
                      <a:blip xmlns:r="http://schemas.openxmlformats.org/officeDocument/2006/relationships" r:embed="Rc5e95d96c58c4929" cstate="print">
                        <a:extLst>
                          <a:ext uri="{28A0092B-C50C-407E-A947-70E740481C1C}"/>
                        </a:extLst>
                      </a:blip>
                      <a:stretch>
                        <a:fillRect/>
                      </a:stretch>
                    </pic:blipFill>
                    <pic:spPr>
                      <a:xfrm>
                        <a:off x="0" y="0"/>
                        <a:ext cx="4876800" cy="348081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86be7d9e031f4f86" /><Relationship Type="http://schemas.openxmlformats.org/officeDocument/2006/relationships/image" Target="/media/image2.bin" Id="R07adcac58832462c" /><Relationship Type="http://schemas.openxmlformats.org/officeDocument/2006/relationships/image" Target="/media/image3.bin" Id="R668ad841f67443f5" /><Relationship Type="http://schemas.openxmlformats.org/officeDocument/2006/relationships/image" Target="/media/image4.bin" Id="R4f09b5facb344104" /><Relationship Type="http://schemas.openxmlformats.org/officeDocument/2006/relationships/image" Target="/media/image5.bin" Id="R74200a6a95224b6d" /><Relationship Type="http://schemas.openxmlformats.org/officeDocument/2006/relationships/image" Target="/media/image6.bin" Id="Rc5e95d96c58c4929" /></Relationships>
</file>