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55d20a30f421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【創校75週年校慶特刊】實踐超級促進者功能  永續三化新未來策略／董事長張家宜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75週年校慶特刊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淡江人以沉浸儀式迎接75週年校慶，印記「雲端智慧•AI紐帶」LOGO，「智領未來∞永續淡江」Slogan，推動全雲端智慧校園3.0。邀請3位諾貝爾獎級學者主講熊貓講座，舉辦第11屆亞太未來學聯盟年會。修建民歌運動文化地景，改造書卷廣場周邊景觀。象徵國際化、資訊化及未來化三化新頁共融，強化「雲端智慧、永續未來」韌性大學城。 
</w:t>
          <w:br/>
          <w:t>史丹福大學賈米爾．薩奇教授指出「超級促進者」如同團隊績效的建築師。淡江擔負此整合「集體智慧」的角色，凝聚33萬優秀校友作為興學支柱，激發創新、提升協作，帶動學校聲望。大學日間學制新生註冊率達101.51%；《遠見》台灣最佳大學排行8度榮獲「人文社科類」私校第一；2025THE世界大學影響力排名及美國新聞與世界報導單項指標列入世界前100名，締造優異成績單。
</w:t>
          <w:br/>
          <w:t>    大學是知識殿堂，也是產業革新的動力引擎。世界經濟論壇（WEF）揭示2030年職場核心技能，除技術性外，更須具策略性。由於結構性轉型，將導致現有職位產生22％的增減，預計新增1.7億職位，減少9,200萬職位。聯合國教科文組織(UNESCO)首席領導Dr. Riel S. Miller，認為培養想像力、洞悉力、前瞻力、集智力與意識力的未來素養基本能力，可以改變對人類能動性。
</w:t>
          <w:br/>
          <w:t>    淡江以「AI＋SDGs＝∞」、「ESG＋AI＝∞」雙商標為校務發展願景，持續培育淡江人未來素養，堅實「數位基磐」及「永續發展」，以優異的辦學績效迎接未來的百年風華，堅信必能落實永續發展使命，成為大學願景規劃與實踐典範。在此，與各位共同齊賀淡江75歲生日快樂！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70960" cy="4876800"/>
              <wp:effectExtent l="0" t="0" r="0" b="0"/>
              <wp:docPr id="1" name="IMG_00f84ee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a7786e03-190c-4537-b7d8-2855da8bf9bb.jpg"/>
                      <pic:cNvPicPr/>
                    </pic:nvPicPr>
                    <pic:blipFill>
                      <a:blip xmlns:r="http://schemas.openxmlformats.org/officeDocument/2006/relationships" r:embed="Rc04bb45b6ed64dd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096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04bb45b6ed64dd5" /></Relationships>
</file>