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523d54382934486"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1230 期</w:t>
        </w:r>
      </w:r>
    </w:p>
    <w:p>
      <w:pPr>
        <w:jc w:val="center"/>
      </w:pPr>
      <w:r>
        <w:r>
          <w:rPr>
            <w:rFonts w:ascii="Segoe UI" w:hAnsi="Segoe UI" w:eastAsia="Segoe UI"/>
            <w:sz w:val="32"/>
            <w:color w:val="000000"/>
            <w:b/>
          </w:rPr>
          <w:t>【創校75週年校慶特刊】前瞻未來，開創教育新局／校長葛煥昭</w:t>
        </w:r>
      </w:r>
    </w:p>
    <w:p>
      <w:pPr>
        <w:jc w:val="right"/>
      </w:pPr>
      <w:r>
        <w:r>
          <w:rPr>
            <w:rFonts w:ascii="Segoe UI" w:hAnsi="Segoe UI" w:eastAsia="Segoe UI"/>
            <w:sz w:val="28"/>
            <w:color w:val="888888"/>
            <w:b/>
          </w:rPr>
          <w:t>75週年校慶特刊</w:t>
        </w:r>
      </w:r>
    </w:p>
    <w:p>
      <w:pPr>
        <w:jc w:val="left"/>
      </w:pPr>
      <w:r>
        <w:r>
          <w:rPr>
            <w:rFonts w:ascii="Segoe UI" w:hAnsi="Segoe UI" w:eastAsia="Segoe UI"/>
            <w:sz w:val="28"/>
            <w:color w:val="000000"/>
          </w:rPr>
          <w:t>淡江大學自1950年成立以來，始終秉持創辦人張建邦博士提倡的「國際化、資訊化、未來化」的三化教育理念。75年來，無論在學術聲望、研究風氣或校務發展上，淡江皆位居私立大學前列。本人承襲三化教育理念，持續推動創新與精進，以「AI+SDGs=∞」與「ESG+AI=∞」 作為校務發展願景，並正式獲得經濟部智慧財產局註冊商標認證，展現本校在教育創新與前瞻布局上的實質成果。本校亦成為與NVIDIA合作的AI University，積極推動「全雲端智慧校園3.0」，並與微軟、遠傳電信等國際企業深化合作關係，持續推進數位轉型與永續發展的結合，致力培育兼具跨域素養與未來競爭力之新世代人才。
</w:t>
          <w:br/>
          <w:t>在辦學成果方面，本學年度日間學制新生註冊率101.51%，連續兩年創新高，充分展現新生與家長對淡江的高度肯定。本校於多項國際評比中表現亦相當亮眼，包括2026年泰晤士世界大學排名、2026年QS世界大學排名、2025-2026年美國新聞與世界報導全球最佳大學排名、2025年泰晤士影響力排名、2025年泰晤士亞洲大學排名、2025年EduRank世界最佳大學排名，皆取得亮眼成績。迄今已培育出33萬名校友，活躍於世界各領域，奠定良好口碑，校友亦持續以行動回饋母校，包括捐資興建守謙國際會議中心、每年捐贈逾4,000萬元的獎助學金，讓學弟妹安心就學；同時提供產學實習與合作機會，培育學生成為符合產業需求的即戰人才。
</w:t>
          <w:br/>
          <w:t>高等教育必須因應全球快速變遷的趨勢，不斷探討教育的未來方向，我們可從「教育未來」與「未來教育」兩個層面來思考。前者是宏觀視角，關注教育的整體發展與走向；後者則屬微觀的，聚焦於具體的實踐與應用，透過兩者的相互呼應，教育才能在變局中持續創新，邁向更具韌性的未來。然而，在未來教育場域中，數位科技扮演關鍵角色，例如VR虛擬實境（Virtual Reality）和AR擴增實境（Augmented Reality），正為學習注入嶄新的體驗模式。鼓勵教師善用數位科技融入教學，不僅能提升課堂互動，也能為學生激發學生自主學習與跨域探索的潛能。然而，我們正處於「大加速時代」，其驅動力來自「3M」：市場（Market）、大自然（Mother Nature）以及摩爾定律（Moore's Law），這些因素，皆已納入淡江「AI+SDGs」的行動藍圖之中，成為校務發展的重要指引。本校與東陽能源科技股份有限公司合作建置電動車充電樁已於淡水校園正式啟用，象徵綠色永續校園邁向新里程，為校園注入永續新動能。淡江大學將持續以創新為引擎，以永續為核心，邁向智慧教育與未來學習的新典範。</w:t>
          <w:br/>
        </w:r>
      </w:r>
    </w:p>
    <w:p>
      <w:pPr>
        <w:jc w:val="center"/>
      </w:pPr>
      <w:r>
        <w:r>
          <w:drawing>
            <wp:inline xmlns:wp14="http://schemas.microsoft.com/office/word/2010/wordprocessingDrawing" xmlns:wp="http://schemas.openxmlformats.org/drawingml/2006/wordprocessingDrawing" distT="0" distB="0" distL="0" distR="0" wp14:editId="50D07946">
              <wp:extent cx="3389376" cy="4876800"/>
              <wp:effectExtent l="0" t="0" r="0" b="0"/>
              <wp:docPr id="1" name="IMG_98cb09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0387a499-1c29-4698-9729-930fa3f0925a.jpg"/>
                      <pic:cNvPicPr/>
                    </pic:nvPicPr>
                    <pic:blipFill>
                      <a:blip xmlns:r="http://schemas.openxmlformats.org/officeDocument/2006/relationships" r:embed="R781e5816da2f48e9" cstate="print">
                        <a:extLst>
                          <a:ext uri="{28A0092B-C50C-407E-A947-70E740481C1C}"/>
                        </a:extLst>
                      </a:blip>
                      <a:stretch>
                        <a:fillRect/>
                      </a:stretch>
                    </pic:blipFill>
                    <pic:spPr>
                      <a:xfrm>
                        <a:off x="0" y="0"/>
                        <a:ext cx="3389376" cy="48768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81e5816da2f48e9" /></Relationships>
</file>