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79f55fa470e408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1227 期</w:t>
        </w:r>
      </w:r>
    </w:p>
    <w:p>
      <w:pPr>
        <w:jc w:val="center"/>
      </w:pPr>
      <w:r>
        <w:r>
          <w:rPr>
            <w:rFonts w:ascii="Segoe UI" w:hAnsi="Segoe UI" w:eastAsia="Segoe UI"/>
            <w:sz w:val="32"/>
            <w:color w:val="000000"/>
            <w:b/>
          </w:rPr>
          <w:t>Guidance Section Partners with Multiple Organizations to Promote a Friendly Campus and Create a Safe Learning Environment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On October 14 at 10 a.m., the Guidance Section held a Friendly Campus Awareness Event at the pedestrian zone in front of the College of Liberal Arts Building, under the theme “Stop! Look! Listen! Let’s Tune in to a Harmonious and Friendly Campus!” The event was jointly promoted with the Tamsui Precinct and the Women and Children Protection Brigade of the New Taipei City Police Department, the New Taipei City Fire Department and Health Department, and R.P.M. Co., Ltd. Through a variety of interactive booths and hands-on experiences, the event aimed to help participants understand the importance of campus safety and moral education in a relaxed and engaging setting.
</w:t>
          <w:br/>
          <w:t>Chief Shu-Jen Kuo of the Guidance Section explained that the collaboration among multiple agencies aimed to encourage students to understand topics such as diversity and inclusion, anti-bullying, gender equality, mental health, and traffic safety. He emphasized that students should practice respect, mutual assistance, and care in daily life, making “friendliness” a core value of Tamkang University’s campus culture.
</w:t>
          <w:br/>
          <w:t>This awareness campaign focused on campus safety and character education, covering topics including bullying prevention, suicide prevention, personal safety, off-campus housing safety, and drug abuse prevention. It also incorporated elements of traffic safety, human rights and legal education, environmental education, and life education. Through explanations and interactive activities at each booth, students enhanced their safety awareness and self-protection skills while deepening their respect and empathy for others. At the off-campus housing safety booth, a Q&amp;A game helped students learn about electricity billing and legal housing conditions, enabling them to acquire practical living knowledge through play. Meanwhile, the Tamsui Police Precinct booth showcased examples of drugs disguised as everyday items, such as candies, cigarettes, or coffee packets, to strengthen students’ awareness of drug identification and prevention, helping them reject drugs from entering the campus.
</w:t>
          <w:br/>
          <w:t>Chih-Yi Hsu, a 2nd year student in Public Administration, shared that she learned many practical tips at the housing safety booth, such as identifying partition walls and rooftop additions as potential safety risks. She said the event was informative and relevant to daily life, raising her awareness of both personal and community safety.</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4b47c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27595fae-85a3-4007-adbf-1ba1e682b7a6.JPG"/>
                      <pic:cNvPicPr/>
                    </pic:nvPicPr>
                    <pic:blipFill>
                      <a:blip xmlns:r="http://schemas.openxmlformats.org/officeDocument/2006/relationships" r:embed="Rc0b5f345ead74b7e"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52800"/>
              <wp:effectExtent l="0" t="0" r="0" b="0"/>
              <wp:docPr id="1" name="IMG_9f9074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30f2e7cb-f334-4f0f-9cbc-eae1b459b249.jpg"/>
                      <pic:cNvPicPr/>
                    </pic:nvPicPr>
                    <pic:blipFill>
                      <a:blip xmlns:r="http://schemas.openxmlformats.org/officeDocument/2006/relationships" r:embed="R2fb6328dbbfd4634" cstate="print">
                        <a:extLst>
                          <a:ext uri="{28A0092B-C50C-407E-A947-70E740481C1C}"/>
                        </a:extLst>
                      </a:blip>
                      <a:stretch>
                        <a:fillRect/>
                      </a:stretch>
                    </pic:blipFill>
                    <pic:spPr>
                      <a:xfrm>
                        <a:off x="0" y="0"/>
                        <a:ext cx="4876800" cy="33528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137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c775d8db-023f-401a-8938-e5b5cb3df835.jpg"/>
                      <pic:cNvPicPr/>
                    </pic:nvPicPr>
                    <pic:blipFill>
                      <a:blip xmlns:r="http://schemas.openxmlformats.org/officeDocument/2006/relationships" r:embed="Rebc798e409044920"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700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6e103e01-a8db-4da7-b34a-6e40062596c3.jpg"/>
                      <pic:cNvPicPr/>
                    </pic:nvPicPr>
                    <pic:blipFill>
                      <a:blip xmlns:r="http://schemas.openxmlformats.org/officeDocument/2006/relationships" r:embed="R462c26ec74ac4457"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0b5f345ead74b7e" /><Relationship Type="http://schemas.openxmlformats.org/officeDocument/2006/relationships/image" Target="/media/image2.bin" Id="R2fb6328dbbfd4634" /><Relationship Type="http://schemas.openxmlformats.org/officeDocument/2006/relationships/image" Target="/media/image3.bin" Id="Rebc798e409044920" /><Relationship Type="http://schemas.openxmlformats.org/officeDocument/2006/relationships/image" Target="/media/image4.bin" Id="R462c26ec74ac4457" /></Relationships>
</file>