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5355ea0033a405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Expanding Interdisciplinary AI Talent: TKU Launches 4 New AI Credit Programs This Academic Year</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Academic Affairs Meeting for the first semester of the 2025–26 Academic Year was held on October 29 at 2:10 p.m. in the Ching-Sheng International Conference Hall, presided over by Dean of Academic Affairs Tzong-Ru Tsai. Vice President for Academic Affairs Hui-Huang Hsu, Executive Vice President Chun-Hung Lin, supervisors of related administrative units, college deans, department chairs, faculty, and student representatives were in attendance.
</w:t>
          <w:br/>
          <w:t>The meeting began with Vice President Hsu presenting the “Honors Program Graduate Scholarship”, which encourages students who have completed the Honors Program to continue their graduate studies at TKU. This semester’s recipients were Aerospace Engineering major Chen-Yen Yu, Accounting major Sheng-Yan Lin, and Water Resources and Environmental Engineering major Yi-Shin Liu, each receiving NT$30,000.
</w:t>
          <w:br/>
          <w:t>A total of 93 proposals were approved. Among them, amendments to Article 9 of the TKU Regulations for Students Undertaking an Academic Double Major, TKU Regulations on Students Undertaking an Academic Minor, and the TKU Implementation Guidelines for Interdisciplinary Courses extend the deadline for withdrawing from programs and ease restrictions for students who have not completed all required courses or credits. Students who have already earned credits may apply for the corresponding qualification, aiming to further encourage interdisciplinary learning, if they have met the requirements of a minor, minor specialty, or second major.
</w:t>
          <w:br/>
          <w:t>To cultivate talent with interdisciplinary AI theoretical and practical application skills, the meeting approved the establishment of four new AI credit programs, along with their implementation guidelines: the AI Exploration and Application Credit Program, the AI Industrial Application Credit Program, the AI Natural Language Technology Credit Program, and the AI Visual Technology Credit Program. These programs align with the Ministry of Education’s Taiwan AI College Alliance (TAICA) and will be implemented starting this semester.
</w:t>
          <w:br/>
          <w:t>To expand international exchange and academic development opportunities, several new dual-degree collaborations have been approved. The Department of Chemistry will establish a 2+2 dual-degree program with the University of Massachusetts Lowell (USA). The Department of International Tourism Management and the Department of Global Politics and Economics will establish 2+2 bachelor’s dual-degree programs with Queensland University of Technology (Australia). International Tourism Management Department will establish a 3+2 bachelor–master dual-degree program with the University of Queensland (Australia). Under this program, students may complete 128 undergraduate credits at TKU within 3 years before advancing to the UQ Business School for a two-year master’s degree. Eligible students may be exempt from English proficiency requirements and will receive a 25% tuition scholarship from UQ.</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7df51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8359c4f-b464-466b-96da-d1d293565e98.JPG"/>
                      <pic:cNvPicPr/>
                    </pic:nvPicPr>
                    <pic:blipFill>
                      <a:blip xmlns:r="http://schemas.openxmlformats.org/officeDocument/2006/relationships" r:embed="Rdde8c168dd8a42b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7f78e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249d450a-5f2f-45b8-ac21-d217083ce887.JPG"/>
                      <pic:cNvPicPr/>
                    </pic:nvPicPr>
                    <pic:blipFill>
                      <a:blip xmlns:r="http://schemas.openxmlformats.org/officeDocument/2006/relationships" r:embed="Rd7b5215d744f406e"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dde8c168dd8a42b2" /><Relationship Type="http://schemas.openxmlformats.org/officeDocument/2006/relationships/image" Target="/media/image2.bin" Id="Rd7b5215d744f406e" /></Relationships>
</file>