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302698f924a6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經濟倫理論壇聚焦SDG10 剖析住宅不均與階層流動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【記者林雅雯淡水校園報導】商管學院經濟倫理研究中心11月11日下午1時，在覺生綜合大樓I501舉辦「2025經濟倫理論壇」，以聯合國永續發展目標（SDGs）第10項「減少不平等（Reduce Inequalities）」為主題，探討臺灣在經濟、住宅與社會階層間的落差議題。該論壇由商管學院碩士在職專班共同主辦，臺灣永光化學股份有限公司贊助，展現學界與企業長期攜手推動經濟倫理研究的實踐成果與持續承諾。
</w:t>
          <w:br/>
          <w:t>學術副校長許輝煌致詞表示，「不平等」是人類社會共同面對的複雜課題，涉及收入差距、教育與社會流動，到性別與族群差異等，皆值得從倫理與制度面深入反思。永光化學董事長陳建信表示，自2010年與淡江大學產學合作以來，公司持續推動論壇發展，鼓勵教師深入研究經濟議題。他認為經濟和生活息息相關，更需從倫理角度思考政策、科技與產業發展。陳建信引用孫中山《三民主義》中「三種不平等」的觀點，強調追求「立足點與機會的平等」，鼓勵有能力者回饋社會，促進社會共榮。
</w:t>
          <w:br/>
          <w:t>論壇安排兩場專題演講。首場由本校財務金融學系副教授黃健銘主持，國立政治大學財政學系教授朱琇妍主講「從SDG10看臺灣的所得不均與住宅不均」，探討台灣社會收入分配與房屋負擔的結構性問題。朱琇妍透過統計數據，分析並比較臺灣與其他國家在所得分配倍數和吉尼係數上的表現，並聚焦「住宅不均」，討論臺灣房價所得比和房貸負擔率的不合理性，及房地合一稅和新青安貸款等政策對房市的影響。討論環節中，與會者們圍繞制度不完全加劇社會不平等，將話題延伸至詐騙及超高齡化社會對勞動結構的影響等面向。
</w:t>
          <w:br/>
          <w:t>第二場由本校經濟學系助理教授林朕陞主持，外交系副教授李文基主講「新住民子女及非新住民子女之社經地位分析初探：以台灣為例」。李文基指出，因人口政策帶動跨國婚姻增加，新住民子女（「新二代」）的社會階級認知也成為重要議題。研究顯示，新二代的社會階層認知未因身分而顯著不同，但教育程度具有關鍵影響力，尤其高中學歷的新二代女性面臨的劣勢更為明顯。他呼籲政府以多元入學機制提升教育機會平等。林朕陞也補充，新住民在臺灣是少數族群，更需從經濟角度關注其資源取得不均的問題。
</w:t>
          <w:br/>
          <w:t>公行四郭婷育分享，因關注企業如何回應SDGs而參與論壇，對於住宅不均深有感觸，認為買房不易，但論壇分享幫助她跳脫刻板觀念，也重新思考投資與社會議題的連結。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572512"/>
              <wp:effectExtent l="0" t="0" r="0" b="0"/>
              <wp:docPr id="1" name="IMG_335e3fb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b46aef13-6524-49f9-b5a6-20a237f16c9b.jpg"/>
                      <pic:cNvPicPr/>
                    </pic:nvPicPr>
                    <pic:blipFill>
                      <a:blip xmlns:r="http://schemas.openxmlformats.org/officeDocument/2006/relationships" r:embed="Rbe37b44ba7904d1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5725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b0cda2c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9b55ccfa-d792-4682-822f-1a79620938ee.jpg"/>
                      <pic:cNvPicPr/>
                    </pic:nvPicPr>
                    <pic:blipFill>
                      <a:blip xmlns:r="http://schemas.openxmlformats.org/officeDocument/2006/relationships" r:embed="Rbad777dbac07476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b8578fb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04d83fa9-eb45-42f3-b36b-948b4dfbd7fc.jpg"/>
                      <pic:cNvPicPr/>
                    </pic:nvPicPr>
                    <pic:blipFill>
                      <a:blip xmlns:r="http://schemas.openxmlformats.org/officeDocument/2006/relationships" r:embed="R14e5efa285cb4dc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688336"/>
              <wp:effectExtent l="0" t="0" r="0" b="0"/>
              <wp:docPr id="1" name="IMG_d0cecbe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da948751-768d-48fa-a53b-86d7e8e81a22.jpg"/>
                      <pic:cNvPicPr/>
                    </pic:nvPicPr>
                    <pic:blipFill>
                      <a:blip xmlns:r="http://schemas.openxmlformats.org/officeDocument/2006/relationships" r:embed="R56ec282574824fa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68833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256ce0d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56d8de84-6ea3-46c7-b8ae-ca8874334cdd.jpg"/>
                      <pic:cNvPicPr/>
                    </pic:nvPicPr>
                    <pic:blipFill>
                      <a:blip xmlns:r="http://schemas.openxmlformats.org/officeDocument/2006/relationships" r:embed="R597bdc31809d420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e37b44ba7904d1b" /><Relationship Type="http://schemas.openxmlformats.org/officeDocument/2006/relationships/image" Target="/media/image2.bin" Id="Rbad777dbac07476c" /><Relationship Type="http://schemas.openxmlformats.org/officeDocument/2006/relationships/image" Target="/media/image3.bin" Id="R14e5efa285cb4dcd" /><Relationship Type="http://schemas.openxmlformats.org/officeDocument/2006/relationships/image" Target="/media/image4.bin" Id="R56ec282574824fa0" /><Relationship Type="http://schemas.openxmlformats.org/officeDocument/2006/relationships/image" Target="/media/image5.bin" Id="R597bdc31809d420c" /></Relationships>
</file>