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c91adac8f593463b"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1235 期</w:t>
        </w:r>
      </w:r>
    </w:p>
    <w:p>
      <w:pPr>
        <w:jc w:val="center"/>
      </w:pPr>
      <w:r>
        <w:r>
          <w:rPr>
            <w:rFonts w:ascii="Segoe UI" w:hAnsi="Segoe UI" w:eastAsia="Segoe UI"/>
            <w:sz w:val="32"/>
            <w:color w:val="000000"/>
            <w:b/>
          </w:rPr>
          <w:t>推動三環教育成效卓著 張家宜獲頒通識教育學會會士</w:t>
        </w:r>
      </w:r>
    </w:p>
    <w:p>
      <w:pPr>
        <w:jc w:val="right"/>
      </w:pPr>
      <w:r>
        <w:r>
          <w:rPr>
            <w:rFonts w:ascii="Segoe UI" w:hAnsi="Segoe UI" w:eastAsia="Segoe UI"/>
            <w:sz w:val="28"/>
            <w:color w:val="888888"/>
            <w:b/>
          </w:rPr>
          <w:t>學校要聞</w:t>
        </w:r>
      </w:r>
    </w:p>
    <w:p>
      <w:pPr>
        <w:jc w:val="left"/>
      </w:pPr>
      <w:r>
        <w:r>
          <w:rPr>
            <w:rFonts w:ascii="Segoe UI" w:hAnsi="Segoe UI" w:eastAsia="Segoe UI"/>
            <w:sz w:val="28"/>
            <w:color w:val="000000"/>
          </w:rPr>
          <w:t>【潘劭愷淡水校園報導】張家宜董事長在教育方面的貢獻再獲肯定！在10月20日「通識教育學會第6屆會士遴選會議」中當選會士，並於12月12日中午12時，在華梵大學舉行的「中華民國通識教育學會會員大會暨頒獎典禮」中，獲頒當選證書，以表彰在通識教育、高等教育發展與的傑出貢獻，為學術界再添一終身榮銜。另本校物理系校友，中國文化大學共同科目與通識教育中心主任鄒忠毅獲頒典範通識教師獎，致詞中特別感謝母校的栽培，為典禮增添一筆淡江驚喜。
</w:t>
          <w:br/>
          <w:t>張董事長在致詞時表示，她一直在淡江大學服務，學校透過「專業、通識、課外活動」的三環課程，培育學生成為「具心靈卓越的人才」，強調本校推動「社團必修學分」，要求所有學生皆必須參加社團活動，藉以有效地養成領導溝通的「軟實力」。近年來在葛校長領導下，以「AI+SDGs＝∞」為校務發展願景，並獲得經濟部註冊商標，顯示通識教育也將由傳統的全人教育，與時俱進地轉向為結合AI與SDGs的跨領域人才養成。曾經擔任過學會理事的她，感謝從各校交流中獲得不少寶貴經驗，也希望未來持續攜手，讓通識教育能有更好的發展。
</w:t>
          <w:br/>
          <w:t>　張董事長為美國史丹福大學教育行政學博士，學術專長包括高等教育、全面品質管理與教育行政。曾任本校前校長、現任學校財團法人董事長與榮譽教授，致力國際教育40年，更在高等教育領域屢獲殊榮，包括2018年榮獲第25屆國家品質獎最高榮譽「卓越經營獎」，為國品獎歷年第一位女性及教育事業經營者個人獎得主；2023年獲中華民國私立學校文教協會頒發第七屆傑出教育事業家；並先後於2008年和2025年獲日本城西大學與麗澤大學頒授名譽博士學位。
</w:t>
          <w:br/>
          <w:t>　學術服務方面，張董事長曾擔任中華民國通識教育學會第九、十屆理事及第十屆常務理事，擔任校長期間，持續贊助該會出版的《通識在線》雜誌及《通識教育學刊》，對推動通識教育的研究與傳播功不可沒。通識教育推動方面，張董事長以「國際化、資訊化、未來化」三化教育理念，結合德智體群美五育，融入三環課程，提出學生8大基本素養，培育學生核心能力，為本校「培育具心靈卓越人才」的教育使命奠定堅實基礎。該措施與通識教育學會推動全人教育、提升國家競爭力的目標高度契合。
</w:t>
          <w:br/>
          <w:t>　長年積極推動通識教育的本校電機系特聘講座教授，通識學會第一屆會士劉金源說明，淡江大學為國內大專校院中推動通識教育的先驅，在張董事長帶領與支持下，完善的課程架構與推動成效，持續獲得肯定。其中多元性社團活動讓他印象深刻，加上社團學分必修化，以及近年來在「AI+SDGs=∞」校務發展願景引領下，開設大一必修特色雙塔課程「AI與程式語言（114學年度改開人工智慧導論）」、「探索永續」，更是培養學生跨域能力，符合社會趨勢的需求。
</w:t>
          <w:br/>
          <w:t>　劉金源強調，通識教育在於透過課程、活動與環境，培養學生跨域能力、健全人格與社會責任感，養成具宏觀視野與實踐力的現代公民。他認為淡江在通識教育的推動與執行，完全符合三大面向的需求，學生畢業後的表現，也能充分從各項企業最愛大學畢業生調查中印證，尤其在《Cheers》雜誌連續獲得28年私校第一，「顯示張董事長多年推動並支持的淡江通識教育，成效卓越。」
</w:t>
          <w:br/>
          <w:t>　中華民國通識教育學會會士，旨在表彰對於我國通識教育發展或學會會務有傑出表現與貢獻的會員。張董事長由教育部前部長蔣偉寧強烈推薦，並獲得出席委員一致通過，成為本屆唯一當選會士，並將成為該會永久會員。
</w:t>
          <w:br/>
          <w:t>　鄒忠毅為本校物理系學士、碩士、博士，曾獲中國文化大學102及108學年度「傑出通識教育教師」，開設「生成式 AI 與 ChatGPT 應用」課程，納入eWant全國跨校通識課程計畫，吸引 1,471 位學生修習，並獲 8 校認列學分，為全國AI 素養教育的指標課程。</w:t>
          <w:br/>
        </w:r>
      </w:r>
    </w:p>
    <w:p>
      <w:pPr>
        <w:jc w:val="center"/>
      </w:pPr>
      <w:r>
        <w:r>
          <w:drawing>
            <wp:inline xmlns:wp14="http://schemas.microsoft.com/office/word/2010/wordprocessingDrawing" xmlns:wp="http://schemas.openxmlformats.org/drawingml/2006/wordprocessingDrawing" distT="0" distB="0" distL="0" distR="0" wp14:editId="50D07946">
              <wp:extent cx="4876800" cy="3236976"/>
              <wp:effectExtent l="0" t="0" r="0" b="0"/>
              <wp:docPr id="1" name="IMG_2dfce8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31acb4e6-6ab5-40e8-8892-769e0f472397.jpg"/>
                      <pic:cNvPicPr/>
                    </pic:nvPicPr>
                    <pic:blipFill>
                      <a:blip xmlns:r="http://schemas.openxmlformats.org/officeDocument/2006/relationships" r:embed="R6537b13c43694b41" cstate="print">
                        <a:extLst>
                          <a:ext uri="{28A0092B-C50C-407E-A947-70E740481C1C}"/>
                        </a:extLst>
                      </a:blip>
                      <a:stretch>
                        <a:fillRect/>
                      </a:stretch>
                    </pic:blipFill>
                    <pic:spPr>
                      <a:xfrm>
                        <a:off x="0" y="0"/>
                        <a:ext cx="4876800" cy="323697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169920"/>
              <wp:effectExtent l="0" t="0" r="0" b="0"/>
              <wp:docPr id="1" name="IMG_2f7835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31134668-1484-430f-9235-52a599c51982.jpg"/>
                      <pic:cNvPicPr/>
                    </pic:nvPicPr>
                    <pic:blipFill>
                      <a:blip xmlns:r="http://schemas.openxmlformats.org/officeDocument/2006/relationships" r:embed="R5c8944999e604921" cstate="print">
                        <a:extLst>
                          <a:ext uri="{28A0092B-C50C-407E-A947-70E740481C1C}"/>
                        </a:extLst>
                      </a:blip>
                      <a:stretch>
                        <a:fillRect/>
                      </a:stretch>
                    </pic:blipFill>
                    <pic:spPr>
                      <a:xfrm>
                        <a:off x="0" y="0"/>
                        <a:ext cx="4876800" cy="316992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6537b13c43694b41" /><Relationship Type="http://schemas.openxmlformats.org/officeDocument/2006/relationships/image" Target="/media/image2.bin" Id="R5c8944999e604921" /></Relationships>
</file>