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8e625e967424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中文系投入iLink前瞻人文示範 指引學生跨域「駕AI」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人工智慧浪潮席捲全球，高等教育如何因應，並開創出新的可能性，成為各大學亟需面對的課題。教育部iLink計畫日前規劃「AI前瞻人文示範基地」，期開創AI時代人文教育新模式，促進AI技術與人文學科的深度融合，提升中文系與語文教育的價值與影響力。該計畫由本校中文系、逢甲大學中文系／國語文中心、國立中興大學中文系及實踐大學高雄校區教發中心合作，透過開發適合人文學科的AI教學工具與教案，提升學生學習成效。
</w:t>
          <w:br/>
          <w:t>「AI前瞻人文示範基地」啟動會議中，達成課程發展將以傳統面向的「經典讀寫力」、當代所需的「多元敘事力」，以及面向未來的「統合應用力」為主軸共識，提出「AI人文教育指導性原則」，包括人機協作與人機共學、建構知識學習模組、種子教師及人才培育、跨校跨領域整合、教學與行政AI支持，以及永續與社會關懷等6大方向，最後由本校代表，中文系助理教授陳姞淨與各校代表共同簽訂合作聯盟，正式啟動示範基地計畫。
</w:t>
          <w:br/>
          <w:t>中文系系主任殷善培說明，文學院2023年獲得iLink計畫零期補助，積極推動「淡江大學文學院再造計畫」，其中「淡江大學中文系課程改造計畫」目標在於與時俱進，強化「中文應用」與「跨領域」能力，培養學生在傳統文學研究之餘，更能具備實際職場能力，因應多元現代職涯挑戰。「中文系長期與大傳系合作，發展多媒體敘事課程，擴及策展、行銷等領域，持續深耕AI應用，並積極與文學院其他各系合作，讓課程與AI技術更緊密地結合 。近年來逐步推動課程改革與轉型，也為此次加入AI示範基地奠定堅實基礎 。」
</w:t>
          <w:br/>
          <w:t>近年來，中文系積極推動課程改革，除了系上專任教師主動學習AI課程並取得資策會「生成式AI能力認證」，並將AI工具導入課堂，提升學習成效，目前已有11位教師投入推動轉型，其中對學生最大的幫助，在於「運用文字的優勢」讓AI能更精準地執行任務。學生的成長，逐漸地在畢業成果展中一一浮現，豐富且多樣性的主題，不少作品與AI協作共展成果，讓他們在獲得肯定的同時，更能掌握社會脈動，建立並強化自信。該系114學年度畢業展也將採取線上展結合實體展覽的方式，鼓勵學生積極運用數位技術，強化畢業競爭力。
</w:t>
          <w:br/>
          <w:t>配合學校「AI+SDGs=∞」校務發展願景，延續雙塔課程「人工智慧概論」與「探索永續」培育學生跨域能力，中文系特別從「AI模式思考產生」的核心思維與架構，開發「中國文能力表達」課程全新教材《敘事與表達》，篇目涵蓋「當AI比我們還會寫：迎接大學語文教育的新挑戰」、「別被誤導！批判思考與邏輯推理的生存指南」等，將AI與人文素養議題融入課程，指引學生如何透過正確的「題示詞」與各種型態的AI進行協作，生成更精確、完整的成果。目前已安排10個班級試行，將依據回饋意見修訂更完善的版本，於114學年度第2學期全面採用。
</w:t>
          <w:br/>
          <w:t>執行iLink計畫近3年的文學院，引領院內各系透過資料分析、語言轉換、內容生成、資料可視及差異教學五大方面，將自身人文專業融入AI，創造嶄新視野，同時探索人文社會領域中難以被AI取代的重要價值，進而駕馭AI工具。其次則藉由參與整合型計畫搭配課程規劃，展開跨域合作，培養學生整合多智能的實力。初步成效在AI跨域課程平台的建置、AI產業技術鏈的連結，及學生AI專案的優異表現三大方面，獲得iLink總辦公室的肯定，也為人文學科與AI的跨域融合，提供一個成功的範例。
</w:t>
          <w:br/>
          <w:t>文學院院長紀慧君感謝教師的齊心協力，學生的認真學習與創新應用，也提到接下來的規劃：首先立足現有經驗，預計申請iLink2.0計畫，為AI與人文的結合尋求更好的發展；其次呼應「AI+SDGs=∞」校務發展願景，推進校院整合，建立永續發展實踐場域，強化學生永續跨域能力；最後則是深化跨域合作，擴大與產業及其他學院合作，培育更多優秀跨域人才，創造學生、產業與學校三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c6916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f9b4c0a-4739-4f0a-bc3a-12e2374ecdae.jpg"/>
                      <pic:cNvPicPr/>
                    </pic:nvPicPr>
                    <pic:blipFill>
                      <a:blip xmlns:r="http://schemas.openxmlformats.org/officeDocument/2006/relationships" r:embed="R826d6031001548a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67584"/>
              <wp:effectExtent l="0" t="0" r="0" b="0"/>
              <wp:docPr id="1" name="IMG_9cce08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a34842a-1755-4049-8be1-007e12c7603a.jpg"/>
                      <pic:cNvPicPr/>
                    </pic:nvPicPr>
                    <pic:blipFill>
                      <a:blip xmlns:r="http://schemas.openxmlformats.org/officeDocument/2006/relationships" r:embed="R837821096f45429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675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005072" cy="2596896"/>
              <wp:effectExtent l="0" t="0" r="0" b="0"/>
              <wp:docPr id="1" name="IMG_714c74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dbc84ba-aea0-4449-8536-e655d2018fca.jpg"/>
                      <pic:cNvPicPr/>
                    </pic:nvPicPr>
                    <pic:blipFill>
                      <a:blip xmlns:r="http://schemas.openxmlformats.org/officeDocument/2006/relationships" r:embed="R2ccf416f11fc483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5072" cy="25968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13888"/>
              <wp:effectExtent l="0" t="0" r="0" b="0"/>
              <wp:docPr id="1" name="IMG_4f4b05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be46249-b3b0-4282-8303-b6cb0e4b3bab.jpg"/>
                      <pic:cNvPicPr/>
                    </pic:nvPicPr>
                    <pic:blipFill>
                      <a:blip xmlns:r="http://schemas.openxmlformats.org/officeDocument/2006/relationships" r:embed="R55519171c7ea4f3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138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26d6031001548a7" /><Relationship Type="http://schemas.openxmlformats.org/officeDocument/2006/relationships/image" Target="/media/image2.bin" Id="R837821096f454290" /><Relationship Type="http://schemas.openxmlformats.org/officeDocument/2006/relationships/image" Target="/media/image3.bin" Id="R2ccf416f11fc4835" /><Relationship Type="http://schemas.openxmlformats.org/officeDocument/2006/relationships/image" Target="/media/image4.bin" Id="R55519171c7ea4f34" /></Relationships>
</file>