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7206b18de924d0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1236 期</w:t>
        </w:r>
      </w:r>
    </w:p>
    <w:p>
      <w:pPr>
        <w:jc w:val="center"/>
      </w:pPr>
      <w:r>
        <w:r>
          <w:rPr>
            <w:rFonts w:ascii="Segoe UI" w:hAnsi="Segoe UI" w:eastAsia="Segoe UI"/>
            <w:sz w:val="32"/>
            <w:color w:val="000000"/>
            <w:b/>
          </w:rPr>
          <w:t>「智慧大未來」跨校深耕數位學習 獲ELOE研討會6項肯定</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【本報訊】由本校擔任中心學校主持的「智慧大未來—數位學習永續深耕聯盟」，12月16至17日由學術副校長許輝煌，率資訊長石貴平與遠距教學發展中心主任鍾志鴻等人，參加在國立臺北科技大學舉辦之「2025 ELOE數位學習國際研討會暨開放教育論壇」，共提交9篇研究論文與5件教學案例，最後獲得磨課師標竿課程「最佳數位課程獎」、「最佳課程推廣獎」、「最佳論文獎」、「SIG年度教學案例獎」、「優良領導獎」和「優良行政獎」等6項肯定。
</w:t>
          <w:br/>
          <w:t>該研討會由教育部指導，第二期數位學習深耕計畫大學分項辦公室、國立宜蘭大學及國立臺北科技大學共同主辦，以「數位學習的創新、應用與挑戰」為主題，吸引全臺多所大學參與交流。現場同步展出全臺22所大學所屬的四大數位學習聯盟成果，進行經驗交流與評比。
</w:t>
          <w:br/>
          <w:t>鍾志鴻說明，此次研討會為教育部資訊及科技教育司主導的「大學聯盟深化數位學習推展與創新應用計畫」，展示從2022年至今的重要成果。本校受教育部委託，策劃「臺灣磨課師大事記」展覽，呈現通識型磨課師課程從大學端延伸至高中及新南向泰國的推動歷程，修課人數和課程使用次數在該計畫中皆居榜首；同時展示「PED學習分析系統」，透過整合學生學習行為數據與視覺化儀表板，協助教師與學輔人員即時掌握學生學習狀態，並結合AI技術提供預警機制，掌握學生學習成效，獲得資科司高級管理師林燕珍的高度肯定。
</w:t>
          <w:br/>
          <w:t>教學成果方面，本校資工系特聘教授張志勇開設的「AI素養與思維」課程，展現通識型數位課程在跨校、跨齡學習推動上的應用潛力，榮獲教育部磨課師標竿課程「最佳數位課程獎」與「最佳課程推廣獎」；張志勇也藉由該課程，獲得「SIG年度教學案例獎-一源多用」，臺北商業大學助理教授林熙中，則透過運用該課程獲得「SIG年度教學案例獎-合作教師」。聯盟學校台北海洋科技大學開設的「海洋資源利用案例介紹」，亦獲「最佳課程推廣獎」。
</w:t>
          <w:br/>
          <w:t>研究面向上，由本校教師團隊撰寫之「OMO結合AI學伴實境解謎遊戲之資料探勘教學」及「修讀遠距教學課程對大學學業表現與修業穩定度之影響—以淡江大學為例」，獲頒最佳論文獎，呈現數位教學設計與學習成效分析的實證成果。另在推動層面，鍾志鴻榮獲「優良領導獎」，研究助理徐毓旋與專案助理詹聖芬獲頒「優良行政獎」，反映在數位學習推動過程中，教學、研究與行政支持之分工協作。
</w:t>
          <w:br/>
          <w:t>本校以聯盟主持學校角色，與大同大學、台北海洋科技大學、真理大學及實踐大學，共同組成「智慧大未來—數位學習永續深耕聯盟」。鍾志鴻表示，透過本次研討會的交流與評選，展現多年推展數位教學與跨校合作的具體成效，成果涵蓋數位課程推廣影響、教學創新實踐及學習分析應用，為本校推動數位教學的重要里程碑。（資料提供／遠距教學發展中心）</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937d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1157c592-cebc-4795-9c45-2b82e5297f3f.jpg"/>
                      <pic:cNvPicPr/>
                    </pic:nvPicPr>
                    <pic:blipFill>
                      <a:blip xmlns:r="http://schemas.openxmlformats.org/officeDocument/2006/relationships" r:embed="Re26f5cda88ff4020"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d5992d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61ecb23c-06c2-46aa-abaa-b9a7d5106224.jpg"/>
                      <pic:cNvPicPr/>
                    </pic:nvPicPr>
                    <pic:blipFill>
                      <a:blip xmlns:r="http://schemas.openxmlformats.org/officeDocument/2006/relationships" r:embed="R1eb53f05af2a44db"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249424"/>
              <wp:effectExtent l="0" t="0" r="0" b="0"/>
              <wp:docPr id="1" name="IMG_3493e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6a5e3ccc-9ffc-45bd-811d-46148e306d64.jpg"/>
                      <pic:cNvPicPr/>
                    </pic:nvPicPr>
                    <pic:blipFill>
                      <a:blip xmlns:r="http://schemas.openxmlformats.org/officeDocument/2006/relationships" r:embed="R93d58a9888e44939" cstate="print">
                        <a:extLst>
                          <a:ext uri="{28A0092B-C50C-407E-A947-70E740481C1C}"/>
                        </a:extLst>
                      </a:blip>
                      <a:stretch>
                        <a:fillRect/>
                      </a:stretch>
                    </pic:blipFill>
                    <pic:spPr>
                      <a:xfrm>
                        <a:off x="0" y="0"/>
                        <a:ext cx="4876800" cy="224942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dd0c3b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86cba743-9a90-450f-b04e-a4219f873cb1.jpg"/>
                      <pic:cNvPicPr/>
                    </pic:nvPicPr>
                    <pic:blipFill>
                      <a:blip xmlns:r="http://schemas.openxmlformats.org/officeDocument/2006/relationships" r:embed="R9b8f3aeffec94e00"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26f5cda88ff4020" /><Relationship Type="http://schemas.openxmlformats.org/officeDocument/2006/relationships/image" Target="/media/image2.bin" Id="R1eb53f05af2a44db" /><Relationship Type="http://schemas.openxmlformats.org/officeDocument/2006/relationships/image" Target="/media/image3.bin" Id="R93d58a9888e44939" /><Relationship Type="http://schemas.openxmlformats.org/officeDocument/2006/relationships/image" Target="/media/image4.bin" Id="R9b8f3aeffec94e00" /></Relationships>
</file>