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b47f3cf051054dcd"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1233 期</w:t>
        </w:r>
      </w:r>
    </w:p>
    <w:p>
      <w:pPr>
        <w:jc w:val="center"/>
      </w:pPr>
      <w:r>
        <w:r>
          <w:rPr>
            <w:rFonts w:ascii="Segoe UI" w:hAnsi="Segoe UI" w:eastAsia="Segoe UI"/>
            <w:sz w:val="32"/>
            <w:color w:val="000000"/>
            <w:b/>
          </w:rPr>
          <w:t>205th Administrative Meeting: Colleges Report on the Implementation of AI Integration in Teaching</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205th Administrative Meeting was held at 2:10 p.m. on November 28 at the Ching-Sheng International Conference Hall, chaired by President Huan-Chao Keh. Three vice presidents and heads of first-level administrative units were in attendance, with the Taipei Campus participating via live video conference.
</w:t>
          <w:br/>
          <w:t>
</w:t>
          <w:br/>
          <w:t>In his opening remarks, President Keh cited demographic statistics indicating a continued decline in Taiwan’s birth rate. In response to the trend of a shrinking student population, Tamkang University has carried out multiple departmental mergers and reorganizations in recent years, aimed at strengthening its enrollment resilience to cope with future recruitment pressures. He also reminded faculty and staff that the entire academic year is critical for student recruitment and urged colleagues to approach enrollment challenges with greater rigor.
</w:t>
          <w:br/>
          <w:t>
</w:t>
          <w:br/>
          <w:t>Regarding AI applications, President Keh reaffirmed the University’s development visions of “AI+SDGs=∞” and “ESG+AI=∞.” He noted that Taiwan currently ranks 21st globally in terms of AI competitiveness, largely due to relatively low adoption rates of AI applications among the public and enterprises. He emphasized that AI should be integrated with general education, competency-based education, and humanities education to help students develop essential soft skills such as critical thinking, communication, coordination, and problem-solving. At the same time, AI can serve as a collaborative tool to enhance both hard and soft skills. For example, integrating the smart e-pen system into calligraphy courses or using VR in physical education classes can further improve learning outcomes in practice-oriented courses. President Keh stressed that the University’s goal is for all faculty, staff, and students to understand and effectively apply AI, underscoring that “those who do not understand AI will be replaced by those who do.”
</w:t>
          <w:br/>
          <w:t>
</w:t>
          <w:br/>
          <w:t>The meeting’s keynote reports were delivered by Dean Huei-Chun Chi of the College of Liberal Arts, Dean Hung-Chung Hsueh of the College of Science, Dean Tzung-Han Lee of the College of Engineering, Artificial Innovative Intelligence and Precision Healthcare, Dean Li-Ren Yang of the College of Business and Management, Dean Yi-Ti Lin of the College of Foreign Languages and Literatures, Dean Cheng-Hao Pao of the College of International Studies, and Dean Kuo-Hua Chen of the College of Education. Each dean presented on the key performance outcomes of integrating AI into teaching across various formats, reporting on how their respective colleges have advanced AI-enhanced teaching based on disciplinary strengths, current implementation status, performance outcomes, challenges and improvements, and future development plans.
</w:t>
          <w:br/>
          <w:t>
</w:t>
          <w:br/>
          <w:t>Prior to the meeting, an award ceremony was held in which President Keh personally presented the Outstanding Faculty Award for Social Practice and Service for the 2025 Academic Year to Associate Professor Hui-Ru Li of the Department of Chinese Literature, Associate Professor Chih-Lin Chung of the Department of Transportation Management, Associate Professor Wei-Li Chen of the Department of International Tourism Management, Assistant Professor Chun-Ta Chiu of the Department of Education and Futures Design, and Associate Professor Hui-Yun Chen of the General Education and Core Curriculum Center. Each recipient received a cash award of NT$24,000 along with a certificate. Assistant Professor Shi-Wei Tien of the Department of Information and Communication supervised junior student Guan-Hao Liao in carrying out the 2024 National Science and Technology Council (NSTC) Undergraduate Student Research Project. The project was recognized for its excellence and creativity and was selected by the NSTC for the Research and Creative Achievement Award. President Keh presented the award-winning student with a cash prize of NT$20,000 and a certificate, while the supervising faculty member received a commemorative medal in recognition of their guidance and mentorship.</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71bfe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fedcdb12-af25-4407-aa7c-ab6b717aed4c.jpg"/>
                      <pic:cNvPicPr/>
                    </pic:nvPicPr>
                    <pic:blipFill>
                      <a:blip xmlns:r="http://schemas.openxmlformats.org/officeDocument/2006/relationships" r:embed="R250cfb9aa4cc4fba"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29cbc5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e60642ad-1465-423c-b024-67c2f2892e0a.jpg"/>
                      <pic:cNvPicPr/>
                    </pic:nvPicPr>
                    <pic:blipFill>
                      <a:blip xmlns:r="http://schemas.openxmlformats.org/officeDocument/2006/relationships" r:embed="Rf84afc30ad9e4be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4876800"/>
              <wp:effectExtent l="0" t="0" r="0" b="0"/>
              <wp:docPr id="1" name="IMG_8e0617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5-12/m\2c14da51-8993-4522-8f56-ad6d54cde498.jpg"/>
                      <pic:cNvPicPr/>
                    </pic:nvPicPr>
                    <pic:blipFill>
                      <a:blip xmlns:r="http://schemas.openxmlformats.org/officeDocument/2006/relationships" r:embed="R00ae6a290dc74b30" cstate="print">
                        <a:extLst>
                          <a:ext uri="{28A0092B-C50C-407E-A947-70E740481C1C}"/>
                        </a:extLst>
                      </a:blip>
                      <a:stretch>
                        <a:fillRect/>
                      </a:stretch>
                    </pic:blipFill>
                    <pic:spPr>
                      <a:xfrm>
                        <a:off x="0" y="0"/>
                        <a:ext cx="4876800"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250cfb9aa4cc4fba" /><Relationship Type="http://schemas.openxmlformats.org/officeDocument/2006/relationships/image" Target="/media/image2.bin" Id="Rf84afc30ad9e4be8" /><Relationship Type="http://schemas.openxmlformats.org/officeDocument/2006/relationships/image" Target="/media/image3.bin" Id="R00ae6a290dc74b30" /></Relationships>
</file>