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278278fc72f041a3"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1239 期</w:t>
        </w:r>
      </w:r>
    </w:p>
    <w:p>
      <w:pPr>
        <w:jc w:val="center"/>
      </w:pPr>
      <w:r>
        <w:r>
          <w:rPr>
            <w:rFonts w:ascii="Segoe UI" w:hAnsi="Segoe UI" w:eastAsia="Segoe UI"/>
            <w:sz w:val="32"/>
            <w:color w:val="000000"/>
            <w:b/>
          </w:rPr>
          <w:t>2026穩懋當代會計研討會 深度交流ESG+AI議題</w:t>
        </w:r>
      </w:r>
    </w:p>
    <w:p>
      <w:pPr>
        <w:jc w:val="right"/>
      </w:pPr>
      <w:r>
        <w:r>
          <w:rPr>
            <w:rFonts w:ascii="Segoe UI" w:hAnsi="Segoe UI" w:eastAsia="Segoe UI"/>
            <w:sz w:val="28"/>
            <w:color w:val="888888"/>
            <w:b/>
          </w:rPr>
          <w:t>即時</w:t>
        </w:r>
      </w:r>
    </w:p>
    <w:p>
      <w:pPr>
        <w:jc w:val="left"/>
      </w:pPr>
      <w:r>
        <w:r>
          <w:rPr>
            <w:rFonts w:ascii="Segoe UI" w:hAnsi="Segoe UI" w:eastAsia="Segoe UI"/>
            <w:sz w:val="28"/>
            <w:color w:val="000000"/>
          </w:rPr>
          <w:t>【記者陳浩臺北報導】由《當代會計》與會計學系共同主辦、穩懋半導體股份有限公司贊助的「2026穩懋當代會計研討會」，1月18日中午12時30分，在北投大地酒店7樓環景宴會廳舉辦，來自臺大、政大、中興、中正與東華大學等學者與會交流，現場互動熱絡。
</w:t>
          <w:br/>
          <w:t>會計系校友、穩懋半導體董事長陳進財致詞表示，研討會營造輕鬆的氣氛，讓學者們分享研究和交換想法，達到以文會友的目的，他同時強調會計人最重要的核心價值是「誠信」，這一詞不僅貫徹他的一生，也是公司經營的重要信念。陳進財指出，隨著AI技術快速發展，如何善用AI提升會計價值，將是學界共同思考的課題。
</w:t>
          <w:br/>
          <w:t>研討會同時舉行「2026穩懋當代會計學者」授證儀式，由陳進財授予「2026穩懋當代會計學者」證書予國立政治大學會計學系教授陳明進，表彰其長期投入會計研究、教育與制度發展之卓越貢獻，也期許《當代會計》在他的指導下持續進步，成為更優質的會計學術發表期刊。
</w:t>
          <w:br/>
          <w:t>研討會由陳明進主持，內容涵蓋審計品質、公司治理與永續揭露等重要議題。中興大學會計學系副教授余駿展指出，研究顯示在排除選擇偏誤後，會計師事務所與客戶的合作任期愈長，整體審計品質愈佳，此結果主要出現在查核複雜度較低的客戶；東華大學財務金融學系教授池祥萱以我國上市及上櫃公司為研究對象，探討組織資本對公司財務績效的影響，以及董監事暨重要職員責任保險（D&amp;O保險）在其中所扮演的角色；中正大學會計與資訊科技學系博士生李宜達說明，隨著臺灣自2021年推動「公司治理3.0－永續發展藍圖」，企業永續資訊的揭露與查證愈受重視。研究發現，異常ESG程度較高的公司，較傾向委託獨立第三方進行永續報告確信，顯示企業ESG揭露策略將影響其確信方式選擇。
</w:t>
          <w:br/>
          <w:t>會計系主任張瑀珊認為，本次研討會特色在於深度交流，將每篇論文的報告與討論時間拉長，讓與會學者能充分交流，進而激盪更多研究想法。《當代會計》發行人顏信輝特別感謝陳進財長期支持研討會舉辦，使其成為我國會計界具影響力的學術交流平台。</w:t>
          <w:br/>
        </w:r>
      </w:r>
    </w:p>
    <w:p>
      <w:pPr>
        <w:jc w:val="center"/>
      </w:pPr>
      <w:r>
        <w:r>
          <w:drawing>
            <wp:inline xmlns:wp14="http://schemas.microsoft.com/office/word/2010/wordprocessingDrawing" xmlns:wp="http://schemas.openxmlformats.org/drawingml/2006/wordprocessingDrawing" distT="0" distB="0" distL="0" distR="0" wp14:editId="50D07946">
              <wp:extent cx="4876800" cy="3895344"/>
              <wp:effectExtent l="0" t="0" r="0" b="0"/>
              <wp:docPr id="1" name="IMG_4482cb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1eb7b3fb-1110-4ba6-9275-a35816e6eda6.jpg"/>
                      <pic:cNvPicPr/>
                    </pic:nvPicPr>
                    <pic:blipFill>
                      <a:blip xmlns:r="http://schemas.openxmlformats.org/officeDocument/2006/relationships" r:embed="R91a8206ffdec433c" cstate="print">
                        <a:extLst>
                          <a:ext uri="{28A0092B-C50C-407E-A947-70E740481C1C}"/>
                        </a:extLst>
                      </a:blip>
                      <a:stretch>
                        <a:fillRect/>
                      </a:stretch>
                    </pic:blipFill>
                    <pic:spPr>
                      <a:xfrm>
                        <a:off x="0" y="0"/>
                        <a:ext cx="4876800" cy="389534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188208"/>
              <wp:effectExtent l="0" t="0" r="0" b="0"/>
              <wp:docPr id="1" name="IMG_53410f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7caccd9c-a342-4827-8829-32e989531c14.jpg"/>
                      <pic:cNvPicPr/>
                    </pic:nvPicPr>
                    <pic:blipFill>
                      <a:blip xmlns:r="http://schemas.openxmlformats.org/officeDocument/2006/relationships" r:embed="Rc21d4441bdf243f5" cstate="print">
                        <a:extLst>
                          <a:ext uri="{28A0092B-C50C-407E-A947-70E740481C1C}"/>
                        </a:extLst>
                      </a:blip>
                      <a:stretch>
                        <a:fillRect/>
                      </a:stretch>
                    </pic:blipFill>
                    <pic:spPr>
                      <a:xfrm>
                        <a:off x="0" y="0"/>
                        <a:ext cx="4876800" cy="318820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e06a93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f26ba11a-52df-4bf8-ae59-74034b38960e.jpg"/>
                      <pic:cNvPicPr/>
                    </pic:nvPicPr>
                    <pic:blipFill>
                      <a:blip xmlns:r="http://schemas.openxmlformats.org/officeDocument/2006/relationships" r:embed="Rff186f6861f84f2b" cstate="print">
                        <a:extLst>
                          <a:ext uri="{28A0092B-C50C-407E-A947-70E740481C1C}"/>
                        </a:extLst>
                      </a:blip>
                      <a:stretch>
                        <a:fillRect/>
                      </a:stretch>
                    </pic:blipFill>
                    <pic:spPr>
                      <a:xfrm>
                        <a:off x="0" y="0"/>
                        <a:ext cx="4876800" cy="3651504"/>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91a8206ffdec433c" /><Relationship Type="http://schemas.openxmlformats.org/officeDocument/2006/relationships/image" Target="/media/image2.bin" Id="Rc21d4441bdf243f5" /><Relationship Type="http://schemas.openxmlformats.org/officeDocument/2006/relationships/image" Target="/media/image3.bin" Id="Rff186f6861f84f2b" /></Relationships>
</file>