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77c39c6b5431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教師研究獎勵總金額連續兩年突破2000萬 肯定教師多元研究成果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人力資源處日前公告114學年度教師研究獎勵名單，包含學術期刊論文、學術性專書、Scopus資料庫收錄之學術期刊論文、研討會論文或學術性專書之被引用次數、創作展演及體育競賽4個項目，總金額2,091萬5,600元，連續兩年突破2000萬，充分體現學校以「獎勵代替補助」的成果，積極鼓勵教師投入學術研究，透過實際成果肯定教師努力，持續營造有利於學術發展的學術環境。
</w:t>
          <w:br/>
          <w:t>本次學術期刊論文共獎勵145位教師410篇論文，總金額1,911萬5,400元，其中SCI及SSCI收錄346篇、A&amp;HCI收錄9篇、ESCI收錄26篇、THCI及TSSCI收錄28篇、本校期刊收錄1篇，其中與國際學者共同發表143篇；學術性專書通過11件11人，總獎勵金額44萬元；Scopus資料庫收錄之學術期刊論文、研討會論文或學術性專書之被引用次數68件28人，總獎勵89萬7,000元；創作展演及體育競賽19件11人，創作展演國際級1件、創作展演國家級1件、創作展演縣市政府級5件，體育競賽國家級12件，總獎勵46萬3,200元。
</w:t>
          <w:br/>
          <w:t>獲獎教師中，有多位名列114年9月發布的「2025年全球前2%頂尖科學家（2025 World's Top 2% Scientists）」中之「終身科學影響力排行榜（1960-2024）」及「2025年度科學影響力排行榜」，包括數學系郭忠勝、張玉坤、物理系董崇禮、李明憲、化學系王三郎、土木系葉怡成、水環系張麗秋、化材系何啟東、電機系丘建青、企管系吳坤山、會計系方郁惠、統計系張春桃、管科系廖述賢、曹銳勤，展現卓越的學術表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64864" cy="3163824"/>
              <wp:effectExtent l="0" t="0" r="0" b="0"/>
              <wp:docPr id="1" name="IMG_eba900d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9548ed91-6ff7-44f7-8112-e54507ae5980.png"/>
                      <pic:cNvPicPr/>
                    </pic:nvPicPr>
                    <pic:blipFill>
                      <a:blip xmlns:r="http://schemas.openxmlformats.org/officeDocument/2006/relationships" r:embed="R4b30cfed69d8431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64864" cy="31638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b30cfed69d84312" /></Relationships>
</file>