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8fcdc217f93b4b56"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1237 期</w:t>
        </w:r>
      </w:r>
    </w:p>
    <w:p>
      <w:pPr>
        <w:jc w:val="center"/>
      </w:pPr>
      <w:r>
        <w:r>
          <w:rPr>
            <w:rFonts w:ascii="Segoe UI" w:hAnsi="Segoe UI" w:eastAsia="Segoe UI"/>
            <w:sz w:val="32"/>
            <w:color w:val="000000"/>
            <w:b/>
          </w:rPr>
          <w:t>206th Administrative Meeting: President Keh Encourages Comprehensive Integration of AI into Teaching and Administration</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206th Administrative Meeting was held at 2:10 p.m. on December 26, 2025, in the Ching-Sheng International Conference Hall, chaired by President Huan-Chao Keh. Attendees included the three vice presidents, first-level administrators, second-level academic administrators, and student representatives, with the Taipei Campus participating via live video link.
</w:t>
          <w:br/>
          <w:t>President Keh first commended Tamkang University’s outstanding overall performance in 2025, citing achievements such as a record-high enrollment rate, the successful completion of the renovation of University Commons, and the selection of nine projects under the 2024 Teaching Practice Research Outstanding Project Awards, marking a new high. He also highlighted the distinguished accomplishments of alumni, including Yu-Hsun Chen, alumnus of the former Department of Educational Technology (now the Department of Information and Library Science), whose film A Foggy Tale won multiple awards at this year’s Golden Horse Awards.
</w:t>
          <w:br/>
          <w:t>In response to trends in AI, President Keh noted that AI-assisted teaching has already been integrated into nearly 75% of all courses, to reach 100% in the future. He requested relevant units to study the inclusion of “AI integration in teaching” as a criterion in the selection of outstanding teachers, and to review cases in which faculty have not aligned with institutional AI policies, have not participated in teaching practice research projects, and have demonstrated insufficient research performance, to enhance overall teaching and research quality.
</w:t>
          <w:br/>
          <w:t>Regarding administration, President Keh emphasized that AI should be comprehensively integrated into practical administrative operations. Administrative leaders were urged to promote AI applications to improve efficiency actively. Regarding personnel matters, he proposed incorporating internationally recognized AI certifications, such as those from Microsoft and NVIDIA, into the evaluation criteria and thresholds for staff transfers or promotions. He also called for a review of contract employees’ willingness to transition to permanent positions, including current salary scales and bonus structures, and suggested exploring adjustments to year-end bonuses or post-transition salary increases to strengthen incentives for conversion.
</w:t>
          <w:br/>
          <w:t>The meeting featured a special report by Prof. Po-Shen Pan, Dean of Research and Development, titled “Practicing ESG+AI=∞ through the All-Cloud Smart Campus 3.0—Accelerating Industry–Government–Academia–Research Co-Creation and Shared Prosperity.” Beginning with the “Smart and Sustainable Industry–Academia Collaboration” component of Smart Campus 3.0, he shared experiences in assisting more than 300 enterprises with digital and sustainability transformation. Based on this foundation, the University has launched a “Digital Twin Systems 1.0 Practical Platform Micro-Program” to build students’ foundational competencies and accumulate hands-on industry experience. In addition, a Microsoft Power BI–based data hub has been developed to integrate enterprise needs with faculty expertise, patents, and past industry–academia projects, enabling precise industry–academia matching.
</w:t>
          <w:br/>
          <w:t>Prof. Wen-Yau Lin, Dean of the Chueh-Sheng Memorial Library, delivered a report entitled “Library AI Innovation and Sustainable Practices.” She explained that the library has long pursued service optimization through Total Quality Management (TQM), achieving 100% adoption of AI tools among library staff, who are also capable of independently developing automated workflows. The library has introduced an AI-powered web-based customer service assistant, “Little Book Attendant” (「小書僮」), to provide 24/7 real-time consultation, and has leveraged “TKU Tiger 3.0” to create “AI Cataloging Assistant” (「AI編目格格」) supporting the classification and cataloging of European-language collections and improving operational efficiency. Furthermore, the library has strengthened training in critical evaluation of authenticity and effective human–AI collaboration, transforming its role from an “information provider” to an “advocate of AI literacy and ethics,” thereby helping faculty and students use AI tools more responsibly.</w:t>
          <w:br/>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710083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3833f28a-606e-47e5-9ecb-44fe4a2def89.jpg"/>
                      <pic:cNvPicPr/>
                    </pic:nvPicPr>
                    <pic:blipFill>
                      <a:blip xmlns:r="http://schemas.openxmlformats.org/officeDocument/2006/relationships" r:embed="R0866db7e8e8b423b"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b58f9a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fb4e6cdc-f011-4fd3-8ace-45e7fe293a6e.jpg"/>
                      <pic:cNvPicPr/>
                    </pic:nvPicPr>
                    <pic:blipFill>
                      <a:blip xmlns:r="http://schemas.openxmlformats.org/officeDocument/2006/relationships" r:embed="R28bff1b03f234b36"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20e49c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e887a667-4be3-41d4-9c13-47b6245649fc.jpg"/>
                      <pic:cNvPicPr/>
                    </pic:nvPicPr>
                    <pic:blipFill>
                      <a:blip xmlns:r="http://schemas.openxmlformats.org/officeDocument/2006/relationships" r:embed="R2cd6f030ac274b4f"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0866db7e8e8b423b" /><Relationship Type="http://schemas.openxmlformats.org/officeDocument/2006/relationships/image" Target="/media/image2.bin" Id="R28bff1b03f234b36" /><Relationship Type="http://schemas.openxmlformats.org/officeDocument/2006/relationships/image" Target="/media/image3.bin" Id="R2cd6f030ac274b4f" /></Relationships>
</file>