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d810eb1611814d5a"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1237 期</w:t>
        </w:r>
      </w:r>
    </w:p>
    <w:p>
      <w:pPr>
        <w:jc w:val="center"/>
      </w:pPr>
      <w:r>
        <w:r>
          <w:rPr>
            <w:rFonts w:ascii="Segoe UI" w:hAnsi="Segoe UI" w:eastAsia="Segoe UI"/>
            <w:sz w:val="32"/>
            <w:color w:val="000000"/>
            <w:b/>
          </w:rPr>
          <w:t>Smart Sustainability, Industry–Academia Win-Win: TKU Partners with CviLux Group to Cultivate Cross-Disciplinary ESG Green Talent</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To cultivate cross-disciplinary sustainability talent aligned with future industry needs and to respond to global industrial transformation trends, the Office of Research and Development partnered with CviLux Group to hold the “All-Cloud Smart Campus 3.0 – Smart and Sustainable Industry–Academia Collaboration: Internship-Based Co-Creation” signing ceremony for an MOU and an industry–academia collaboration agreement at 9:30 a.m. on December 22, 2025. The agreement was jointly signed by Prof. Chun-Hung Lin, Vice President for Administrative Affairs; Chao-Chun Yang, Chairman of CviLux Group; Prof. Po-Shen Pan, Dean of Research and Development; Prof. Kuo-Hua Chen, Dean of the College of Education; and Dr. Ying-Chih Kuo, Assistant Professor of the Department of Educational Technology and Principal Investigator of the project. First- and second-level administrators and faculty members, along with representatives from CviLux Group, attended the event.
</w:t>
          <w:br/>
          <w:t>In his remarks, Vice President Lin noted that the close geographic proximity between CviLux Group and Tamkang University would facilitate deeper, substantive exchanges. He emphasized that the University is actively advancing All-Cloud Smart Campus 3.0, with industry–academia collaboration as a key pillar, and expressed hope that the partnership would generate a three-way win for the University, industry, and society while supporting net-zero carbon and sustainability goals. Lin underscored that cultivating “green-collar talent” capable of meeting future trends is a core mission of universities and requires joint investment from industry practitioners and academic faculty. He thanked the Office of Research and Development for its leadership and the College of Education for its support, and expressed confidence in the partnership’s long-term success.
</w:t>
          <w:br/>
          <w:t>Chairman Yang remarked that many senior executives within CviLux Group are Tamkang alumni, creating strong geographic and personal ties between the two parties. He expressed strong alignment with the University’s “AI+SDGs=∞” development vision, noting that AI is reshaping industrial ecosystems. As a key player in the electronics supply chain, CviLux Group has progressed from smart manufacturing toward ESG-driven sustainable transformation and hopes to leverage academic research capacity to address management challenges such as carbon footprint accounting. Yang emphasized that AI and ESG have become critical to industrial competitiveness, and that only through effective use of technology and systematic management can industries respond to decarbonization challenges and labor shortages, thereby sustaining Taiwan’s global competitiveness in the electronics supply chain.
</w:t>
          <w:br/>
          <w:t>Asst. Prof. Kuo explained that the collaboration originated from CviLux Group’s vision of giving back to society through ESG talent development. Led by the Department of Educational Technology, which contributes expertise in instructional design and digital learning, and in partnership with the Group’s Yangtek Education Charitable Trust, the initiative will implement a three-year “SME ESG Adoption and Innovative Transformation Training and Promotion Project” (「中小企業ESG導入與創新轉型輔導教育訓練推廣計畫」). The project will translate corporate best practices into structured digital learning materials to help enterprises and their suppliers implement energy conservation and carbon reduction. CviLux Group will provide real-world practice settings and student stipends, while the Department will develop instructional materials and build an online platform, integrating relevant green-collar talent courses across the University. Upon completing training, students will enter enterprises to conduct training and advisory services, gaining hands-on experience and enhancing job readiness.
</w:t>
          <w:br/>
          <w:t>Prof. Pan added that CviLux Group’s long-standing presence in Tamsui provides extensive industry expertise and collaboration resources. The signing of the MOU establishes a long-term framework for industry–academia cooperation, encompassing SME ESG and innovation transformation training, carbon accounting (including greenhouse gas inventories) curricula and digital courses, student internships and capstone projects, career pathways, and the development of AI-enabled digital services and knowledge platforms. The partnership aims to embed sustainability principles and technological applications into real-world business contexts, cultivating cross-disciplinary talent with dual competencies in digital innovation and sustainability.</w:t>
          <w:br/>
        </w:r>
      </w:r>
    </w:p>
    <w:p>
      <w:pPr>
        <w:jc w:val="center"/>
      </w:pPr>
      <w:r>
        <w:r>
          <w:drawing>
            <wp:inline xmlns:wp14="http://schemas.microsoft.com/office/word/2010/wordprocessingDrawing" xmlns:wp="http://schemas.openxmlformats.org/drawingml/2006/wordprocessingDrawing" distT="0" distB="0" distL="0" distR="0" wp14:editId="50D07946">
              <wp:extent cx="4876800" cy="3395472"/>
              <wp:effectExtent l="0" t="0" r="0" b="0"/>
              <wp:docPr id="1" name="IMG_29278a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bbf56633-896d-4138-8cce-be001117ca84.jpg"/>
                      <pic:cNvPicPr/>
                    </pic:nvPicPr>
                    <pic:blipFill>
                      <a:blip xmlns:r="http://schemas.openxmlformats.org/officeDocument/2006/relationships" r:embed="Rb73e24016a504968" cstate="print">
                        <a:extLst>
                          <a:ext uri="{28A0092B-C50C-407E-A947-70E740481C1C}"/>
                        </a:extLst>
                      </a:blip>
                      <a:stretch>
                        <a:fillRect/>
                      </a:stretch>
                    </pic:blipFill>
                    <pic:spPr>
                      <a:xfrm>
                        <a:off x="0" y="0"/>
                        <a:ext cx="4876800" cy="3395472"/>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169920"/>
              <wp:effectExtent l="0" t="0" r="0" b="0"/>
              <wp:docPr id="1" name="IMG_f0318e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b00ecaa8-406b-4af8-88df-57087d65e477.jpg"/>
                      <pic:cNvPicPr/>
                    </pic:nvPicPr>
                    <pic:blipFill>
                      <a:blip xmlns:r="http://schemas.openxmlformats.org/officeDocument/2006/relationships" r:embed="Rde9f0b6ac8ae4509" cstate="print">
                        <a:extLst>
                          <a:ext uri="{28A0092B-C50C-407E-A947-70E740481C1C}"/>
                        </a:extLst>
                      </a:blip>
                      <a:stretch>
                        <a:fillRect/>
                      </a:stretch>
                    </pic:blipFill>
                    <pic:spPr>
                      <a:xfrm>
                        <a:off x="0" y="0"/>
                        <a:ext cx="4876800" cy="316992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322320"/>
              <wp:effectExtent l="0" t="0" r="0" b="0"/>
              <wp:docPr id="1" name="IMG_ecc33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76549998-70e2-4678-8135-f2c0320411c4.jpg"/>
                      <pic:cNvPicPr/>
                    </pic:nvPicPr>
                    <pic:blipFill>
                      <a:blip xmlns:r="http://schemas.openxmlformats.org/officeDocument/2006/relationships" r:embed="Re29f3a1e70154d4b" cstate="print">
                        <a:extLst>
                          <a:ext uri="{28A0092B-C50C-407E-A947-70E740481C1C}"/>
                        </a:extLst>
                      </a:blip>
                      <a:stretch>
                        <a:fillRect/>
                      </a:stretch>
                    </pic:blipFill>
                    <pic:spPr>
                      <a:xfrm>
                        <a:off x="0" y="0"/>
                        <a:ext cx="4876800" cy="332232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554224"/>
              <wp:effectExtent l="0" t="0" r="0" b="0"/>
              <wp:docPr id="1" name="IMG_2ea62c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50a79bf6-155c-4eb6-819a-4b4e0a4dae2d.jpg"/>
                      <pic:cNvPicPr/>
                    </pic:nvPicPr>
                    <pic:blipFill>
                      <a:blip xmlns:r="http://schemas.openxmlformats.org/officeDocument/2006/relationships" r:embed="Rd4393622c89047d8" cstate="print">
                        <a:extLst>
                          <a:ext uri="{28A0092B-C50C-407E-A947-70E740481C1C}"/>
                        </a:extLst>
                      </a:blip>
                      <a:stretch>
                        <a:fillRect/>
                      </a:stretch>
                    </pic:blipFill>
                    <pic:spPr>
                      <a:xfrm>
                        <a:off x="0" y="0"/>
                        <a:ext cx="4876800" cy="2554224"/>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b73e24016a504968" /><Relationship Type="http://schemas.openxmlformats.org/officeDocument/2006/relationships/image" Target="/media/image2.bin" Id="Rde9f0b6ac8ae4509" /><Relationship Type="http://schemas.openxmlformats.org/officeDocument/2006/relationships/image" Target="/media/image3.bin" Id="Re29f3a1e70154d4b" /><Relationship Type="http://schemas.openxmlformats.org/officeDocument/2006/relationships/image" Target="/media/image4.bin" Id="Rd4393622c89047d8" /></Relationships>
</file>