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5aace0f71504b0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CommonWealth Magazine's ‘Companies’ Favorite' Survey: Tamkang University Ranks No. 1 Among Private Universities for a Record 29 Consecutive Years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results of CommonWealth Magazine’s “2026 Companies’ Favorite University Graduates Survey” were announced on January 15, with Tamkang University ranking 11th nationwide, setting a new record as the No. 1 private university for 29 consecutive years. The survey targeted human resources executives from companies listed in CommonWealth Magazine’s Top 2,000 Enterprises. Conducted between November 11 and December 3, 2025, a total of 2,839 invitations were sent, yielding 894 valid responses, for a response rate of 31.49%.
</w:t>
          <w:br/>
          <w:t>
</w:t>
          <w:br/>
          <w:t>The survey indicates that the “shelf life” of university-acquired knowledge is rapidly shrinking: 40.4% of respondents believe it lasts only about one year, while 68.2% estimate it does not exceed one and a half years, with the shortest duration observed in the high-tech services sector. This highlights that employers value not only professional expertise, but also graduates’ capacity for continuous learning and rapid skills renewal. When selecting new graduates, companies place the greatest emphasis on stress resilience and stability, as well as self-directed learning ability and adaptability, underscoring strong expectations for graduates’ soft skills in addition to technical competence.
</w:t>
          <w:br/>
          <w:t>
</w:t>
          <w:br/>
          <w:t>Guided by its Triple Objective of Education: Globalization, Information-oriented Education, and Future-oriented Education, Tamkang University cultivates students’ Eight Essential Qualities through an integrated framework of professional education, general education, and extracurricular learning, aiming to nurture individuals with both professional excellence and inner growth. In recent years, under the institutional visions of “AI+SDGs=∞” and “ESG+AI=∞,” Tamkang University has actively promoted distinctive “dual-tower” required general education courses and implemented a flexible academic system that encourages first-year students to pursue diverse, self-directed learning pathways. These initiatives strengthen interdisciplinary integration, significantly enhance graduates’ competitiveness, and lay a solid foundation for Tamkang University’s long-standing recognition as one of the employers’ favorite universities.</w:t>
          <w:br/>
        </w:r>
      </w:r>
    </w:p>
    <w:p>
      <w:pPr>
        <w:jc w:val="center"/>
      </w:pPr>
      <w:r>
        <w:r>
          <w:drawing>
            <wp:inline xmlns:wp14="http://schemas.microsoft.com/office/word/2010/wordprocessingDrawing" xmlns:wp="http://schemas.openxmlformats.org/drawingml/2006/wordprocessingDrawing" distT="0" distB="0" distL="0" distR="0" wp14:editId="50D07946">
              <wp:extent cx="4876800" cy="3108960"/>
              <wp:effectExtent l="0" t="0" r="0" b="0"/>
              <wp:docPr id="1" name="IMG_3570d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3c307b6c-15bf-4247-953a-800533d15b0d.jpg"/>
                      <pic:cNvPicPr/>
                    </pic:nvPicPr>
                    <pic:blipFill>
                      <a:blip xmlns:r="http://schemas.openxmlformats.org/officeDocument/2006/relationships" r:embed="R38f1b47d99964d51" cstate="print">
                        <a:extLst>
                          <a:ext uri="{28A0092B-C50C-407E-A947-70E740481C1C}"/>
                        </a:extLst>
                      </a:blip>
                      <a:stretch>
                        <a:fillRect/>
                      </a:stretch>
                    </pic:blipFill>
                    <pic:spPr>
                      <a:xfrm>
                        <a:off x="0" y="0"/>
                        <a:ext cx="4876800" cy="310896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8f1b47d99964d51" /></Relationships>
</file>