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1458a3d5aa3486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AI-Driven Governance as the Key to Success: Tamkang University Again Named Employers’ Favorite Private University in 1111 Job Bank’s Survey, Placing Nationally in 6 Academic Clusters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According to the “2026 Employers’ Favorite Universities Ranking Survey” published in January in the 2026 Guide to University Admission by 1111 Job Bank, Tamkang University ranked eighth nationwide in overall workplace performance, surpassing National Central University, and continued to hold the No. 1 position among private universities. As reported by Global Views Monthly, Tamkang’s ability to maintain its leading position amid rapid changes in higher education lies in its sustained promotion of an “AI-led” governance model, establishing a benchmark for AI-driven university governance and a fully cloud-based smart campus.
</w:t>
          <w:br/>
          <w:t>According to Global Views Monthly, Tamkang University’s graduate quality is highly recognized by industry, advancing to eighth place this year. The report quotes President Huan-Chao Keh, who explains that Tamkang has adopted the dual registered trademarks “AI+SDGs=∞” and “ESG+AI=∞” as its institutional development vision. Built upon the Triple Objectives of Education- Globalization, Information-oriented Education, and future-oriented Education, Tamkang is shaping a resilient university city characterized by Glocalization, Intelligent Cloud, and Sustainable Future. In March of last year, Tamkang upgraded to “All Cloud-Based Smart Campus 3.0,” comprehensively integrating AI across four key domains: university governance, teaching innovation, energy management, and industry–academia collaboration, a move identified as the decisive factor behind its success.
</w:t>
          <w:br/>
          <w:t>As the AI wave reshapes corporate recruitment priorities, employers are increasingly aligning talent selection with AI competencies. Tamkang University has therefore fully advanced its strategy of integrating AI into teaching, particularly in the humanities and social sciences. Led by the AI Innovation Institute, the University has launched over 300 AI and cloud-based micro-credit courses, enabling more than 3,600 students to obtain international AI certifications from Microsoft, NVIDIA, and others, nearly 70% of whom come from non-information technology disciplines, a set of concrete achievements widely recognized by industry.
</w:t>
          <w:br/>
          <w:t>Beginning in the 2025 academic year, Tamkang has fully implemented AI integration across all curricula, investing substantial resources and providing corresponding support and incentives through Teaching Practice Research Projects, University Social Responsibility (USR) programs, and NSTC undergraduate research projects. President Keh has emphasized that humanities and social science disciplines must not remain outside this trend, recalling that 25 years ago, students in the Chinese Department who studied the then-emerging course Introduction to Electronic Computing were able to enter high-tech industries after graduation. “Today’s AI tools are far more powerful than those of the past,” he stressed, “and students in the humanities should all the more seize this opportunity.”
</w:t>
          <w:br/>
          <w:t>President Keh further noted that we are now in the era of AI, and that the term “digital transformation” is no longer sufficient to describe the current changes, as digitalization began decades ago. “Today’s students are Digital Natives, but future students will be AI Natives.” Quoting the phrase “poverty limits your imagination,” he reminded faculty and students alike that not using AI limits creativity. Without these tools, human thinking, reflection, and problem-solving remain constrained by an “old-era” mindset; by contrast, AI can unlock forms of creativity previously unimaginable.
</w:t>
          <w:br/>
          <w:t>President Keh also cited talent demands shared by a member of the University Board and distinguished alumnus Shao-Hsin Wang, Chairman of SINBON Electronics, noting that technology industries require not only engineering talent but also foreign-language professionals. He strongly encouraged students to obtain AI-related certifications (such as those from Microsoft or NVIDIA), emphasizing that the ability to solve real business problems will greatly enhance employability.
</w:t>
          <w:br/>
          <w:t>Student achievements have likewise impressed industry observers. As noted by Global Views Monthly, Tamkang’s robotics research team won the overall championship at the 2025 FIRA World Cup for the 14th time, setting a new marathon record; meanwhile, the University’s small scientific sounding rockets have successfully launched four times at Xuhai, with TKU-II reaching an altitude of over 7 kilometers in November, accomplishments that have drawn widespread acclaim.
</w:t>
          <w:br/>
          <w:t>In the national rankings for workplace competitiveness by academic cluster, Tamkang placed among the top institutions in six clusters: information technology, engineering, architecture, mass communication, management, and foreign languages. The mass communication cluster achieved the highest ranking at fourth nationwide, followed by engineering (fifth); information technology, management, and foreign languages (sixth); and architecture (eighth). Among these, engineering, information technology, and management all ranked first among private universities.
</w:t>
          <w:br/>
          <w:t>The 2026 Guide to University Admission, themed “A Survival Guide for Interdisciplinary Learning,” encourages students, amid the career uncertainty brought by generative AI, to “cross boundaries and reserve your infinite game.” In an interview, Dean of Academic Affairs Tzong-Ru Tsai explained how Tamkang’s innovative interdisciplinary learning framework equips students with the ability to pivot freely. By integrating minor specialties and double majors into existing academic regulations, the University enables students to flexibly combine credit modules, completing minors or second majors within the standard graduation credit requirements. Data show that interdisciplinary course registrations surged from 568 to 905 within just three years, demonstrating that “our students are actively choosing diverse futures.”
</w:t>
          <w:br/>
          <w:t>Dean Tsai further detailed Tamkang University’s supporting measures, which treat AI and SDGs as foundational learning pillars, using micro-programs and discipline-exploration courses to precisely align student learning with workplace demands. Tamkang has also established comprehensive digital support systems and professional learning communities, enabling students to build personalized knowledge networks from the moment they enroll. The ultimate goal is to transform university education into an open platform that cultivates interdisciplinary talents with both technological literacy and a strong sense of social responsibility.</w:t>
          <w:br/>
        </w:r>
      </w:r>
    </w:p>
    <w:p>
      <w:pPr>
        <w:jc w:val="center"/>
      </w:pPr>
      <w:r>
        <w:r>
          <w:drawing>
            <wp:inline xmlns:wp14="http://schemas.microsoft.com/office/word/2010/wordprocessingDrawing" xmlns:wp="http://schemas.openxmlformats.org/drawingml/2006/wordprocessingDrawing" distT="0" distB="0" distL="0" distR="0" wp14:editId="50D07946">
              <wp:extent cx="4876800" cy="1944624"/>
              <wp:effectExtent l="0" t="0" r="0" b="0"/>
              <wp:docPr id="1" name="IMG_530202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5eb7723e-61d1-41a7-840f-fc8284ebed11.jpg"/>
                      <pic:cNvPicPr/>
                    </pic:nvPicPr>
                    <pic:blipFill>
                      <a:blip xmlns:r="http://schemas.openxmlformats.org/officeDocument/2006/relationships" r:embed="R979051a7b2024bca" cstate="print">
                        <a:extLst>
                          <a:ext uri="{28A0092B-C50C-407E-A947-70E740481C1C}"/>
                        </a:extLst>
                      </a:blip>
                      <a:stretch>
                        <a:fillRect/>
                      </a:stretch>
                    </pic:blipFill>
                    <pic:spPr>
                      <a:xfrm>
                        <a:off x="0" y="0"/>
                        <a:ext cx="4876800" cy="194462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968496" cy="4876800"/>
              <wp:effectExtent l="0" t="0" r="0" b="0"/>
              <wp:docPr id="1" name="IMG_24a681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e266693c-9dd2-47d2-8f52-cadf72cc379a.jpg"/>
                      <pic:cNvPicPr/>
                    </pic:nvPicPr>
                    <pic:blipFill>
                      <a:blip xmlns:r="http://schemas.openxmlformats.org/officeDocument/2006/relationships" r:embed="Rf46a0cec6e25412f" cstate="print">
                        <a:extLst>
                          <a:ext uri="{28A0092B-C50C-407E-A947-70E740481C1C}"/>
                        </a:extLst>
                      </a:blip>
                      <a:stretch>
                        <a:fillRect/>
                      </a:stretch>
                    </pic:blipFill>
                    <pic:spPr>
                      <a:xfrm>
                        <a:off x="0" y="0"/>
                        <a:ext cx="3968496" cy="48768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791712"/>
              <wp:effectExtent l="0" t="0" r="0" b="0"/>
              <wp:docPr id="1" name="IMG_2c30f2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25528bf7-3616-4e3e-8700-ad4e44fa5fa8.jpg"/>
                      <pic:cNvPicPr/>
                    </pic:nvPicPr>
                    <pic:blipFill>
                      <a:blip xmlns:r="http://schemas.openxmlformats.org/officeDocument/2006/relationships" r:embed="R7ecfdeea54df4865" cstate="print">
                        <a:extLst>
                          <a:ext uri="{28A0092B-C50C-407E-A947-70E740481C1C}"/>
                        </a:extLst>
                      </a:blip>
                      <a:stretch>
                        <a:fillRect/>
                      </a:stretch>
                    </pic:blipFill>
                    <pic:spPr>
                      <a:xfrm>
                        <a:off x="0" y="0"/>
                        <a:ext cx="4876800" cy="3791712"/>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79051a7b2024bca" /><Relationship Type="http://schemas.openxmlformats.org/officeDocument/2006/relationships/image" Target="/media/image2.bin" Id="Rf46a0cec6e25412f" /><Relationship Type="http://schemas.openxmlformats.org/officeDocument/2006/relationships/image" Target="/media/image3.bin" Id="R7ecfdeea54df4865" /></Relationships>
</file>