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e7f32a34514549c7"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1239 期</w:t>
        </w:r>
      </w:r>
    </w:p>
    <w:p>
      <w:pPr>
        <w:jc w:val="center"/>
      </w:pPr>
      <w:r>
        <w:r>
          <w:rPr>
            <w:rFonts w:ascii="Segoe UI" w:hAnsi="Segoe UI" w:eastAsia="Segoe UI"/>
            <w:sz w:val="32"/>
            <w:color w:val="000000"/>
            <w:b/>
          </w:rPr>
          <w:t>Tamkang University Partners with New Taipei City Education Department, Jinhe High School to Launch the First AI Ethics Handbook for High Schools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To cultivate students’ sound technological values and AI ethics literacy, the University’s AI Ethics Education Resource Center has partnered with the New Taipei City Department of Education and Jinhe High School to publish Taiwan’s first school-based AI Ethics Curriculum Handbook designed specifically for the senior high school level, marking a new milestone for AI literacy education nationwide.
</w:t>
          <w:br/>
          <w:t>At the teacher development workshop titled “Educational Choices in the AI Era,” held at Jinhe High School at 1:00 p.m. on December 30, 2025, Director XingChen C.C. Lin of the Center for AI Ethics Education guided participating teachers through complete instructional processes via case sharing and live demonstration teaching, fostering cross-school lesson co-planning and instructional exchange. Grounded in everyday situations that resonate with students, the handbook focuses on real-world cases such as misinformation, AI-generated images, and deepfake videos. It incorporates small-group discussions and task-oriented activities to help students analyze scenarios, make judgments, and progressively develop the critical thinking and sense of responsibility required in an AI-driven world.
</w:t>
          <w:br/>
          <w:t>Lin noted that emerging challenges, such as misinformation, deepfakes, and algorithmic bias, cannot be adequately addressed through technical instruction alone. Accordingly, her team developed the handbook in alignment with Taiwan’s Curriculum Guidelines of 12-Year Basic Education, integrating students’ lived experiences. Moving beyond traditional pedagogy, the materials start from familiar contexts like social media algorithms and generative AI applications, prompting reflection on core questions, including who sets algorithms, where technological responsibility lies, and how value judgments are formed, thereby strengthening students’ independent thinking and discernment in the AI era.
</w:t>
          <w:br/>
          <w:t>Jinhe High School Principal Chun-Ning Chang emphasized that the handbook responds directly to urgent classroom needs while providing a systematic instructional framework that empowers teachers without an IT background to confidently lead discussions on AI ethics. The New Taipei City Department of Education added that, through government–academia collaboration, the program is expected to expand to more schools and comprehensively enhance students’ digital citizenship. Looking ahead, Lin affirmed that the AI Ethics Education Center will continue to develop and disseminate interdisciplinary AI education resources, ensuring that technological advancement proceeds in step with ethical values through the power of education.</w:t>
          <w:br/>
        </w:r>
      </w:r>
    </w:p>
    <w:p>
      <w:pPr>
        <w:jc w:val="center"/>
      </w:pPr>
      <w:r>
        <w:r>
          <w:drawing>
            <wp:inline xmlns:wp14="http://schemas.microsoft.com/office/word/2010/wordprocessingDrawing" xmlns:wp="http://schemas.openxmlformats.org/drawingml/2006/wordprocessingDrawing" distT="0" distB="0" distL="0" distR="0" wp14:editId="50D07946">
              <wp:extent cx="4876800" cy="2980944"/>
              <wp:effectExtent l="0" t="0" r="0" b="0"/>
              <wp:docPr id="1" name="IMG_9cf6b5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5d1fabdc-b49d-404b-9ea7-d9287d4d30be.jpg"/>
                      <pic:cNvPicPr/>
                    </pic:nvPicPr>
                    <pic:blipFill>
                      <a:blip xmlns:r="http://schemas.openxmlformats.org/officeDocument/2006/relationships" r:embed="R114ffbbfb7ae4061" cstate="print">
                        <a:extLst>
                          <a:ext uri="{28A0092B-C50C-407E-A947-70E740481C1C}"/>
                        </a:extLst>
                      </a:blip>
                      <a:stretch>
                        <a:fillRect/>
                      </a:stretch>
                    </pic:blipFill>
                    <pic:spPr>
                      <a:xfrm>
                        <a:off x="0" y="0"/>
                        <a:ext cx="4876800" cy="2980944"/>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114ffbbfb7ae4061" /></Relationships>
</file>