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3118cf3b2654a2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Ranked Top 10 in Employers’ Survey, Tamkang University Embraces AI and Rivals National Universities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1111 Job Bank held a press conference on January 16 to announce the results of its “2026 Most Favored Universities by Employers” survey. Tamkang graduates’ overall workplace performance was highly recognized by employers, ranking No. 8 nationwide and once again No. 1 among private universities. Administrative Vice President Chun-Hung Lin and Secretary-General Yu-Pei Ma attended the press conference and gave interviews to the media. Lin expressed his honor at Tamkang again being ranked the most favored private university by employers, noting that “in the overall national ranking, which includes national universities, Tamkang has advanced to No. 8, demonstrating that Tamkang’s competitors are no longer limited to private universities but stand shoulder to shoulder with national universities.”
</w:t>
          <w:br/>
          <w:t>Lin explained that in 2020, Tamkang partnered with Microsoft to establish Taiwan’s first “All-Cloud Smart Campus.” In 2022, the University further collaborated with FarEasTone Telecommunications to upgrade its long-standing Triple Objectives of Globalization, Information-oriented Education, and Future-oriented Education and move toward “All-Cloud Smart Campus 3.0.” The primary focus of this cloud-based campus initiative is to enhance the student learning environment and adopt a student-centered approach, with the ultimate goal of strengthening students’ competitiveness in the workplace.
</w:t>
          <w:br/>
          <w:t>He also emphasized Tamkang University’s achievements in integrating AI into teaching. Guided by the dual trademarks “AI+SDGs=∞” and “ESG+AI=∞” as its development vision, Tamkang established the College of Artificial Innovative Intelligence in 2020 to meet urgent industry demand for AI talent. The Department of Artificial Intelligence, originally launched with one class, has expanded to three classes, and plans are underway to establish a master’s program. Meanwhile, the College offers more than 300 AI and cloud-related micro-credit courses for students across all departments and has helped over 2,000 students obtain international AI certifications from Microsoft and NVIDIA. With strong institutional support, approximately 70% of Tamkang faculty now integrate AI into their courses, enabling students to become familiar with AI tools in their everyday learning.
</w:t>
          <w:br/>
          <w:t>Lin also noted that the University applies AI not only in teaching but also in “AI-driven university governance.” AI is used to enhance the quality of institutional decision-making, while significant resources have been invested in university governance and industry–academia collaboration projects. Despite the pressure of Taiwan’s declining birth rate, Tamkang has achieved impressive results. The freshman enrollment rate for the daytime undergraduate program has exceeded 100% for two consecutive years (reaching 101.51% this year). Lin remarked that “this demonstrates that by highlighting its distinctive educational strengths, the University has successfully gained recognition from both students and parents.”
</w:t>
          <w:br/>
          <w:t>In terms of academic discipline performance, Tamkang ranks No. 1 among private universities in Information, Engineering, and Management, while its Mass Communication programs rank No. 4 nationwide, reflecting outstanding educational achievements. In addition, the University continues to advance All-Cloud Smart Campus 3.0 and interdisciplinary learning initiatives. It plans to establish an English-taught Bachelor’s Program in Semiconductor Engineering Technology in the College of Engineering in 2027, which will form a comprehensive “AI+Semiconductor” dual-axis talent cultivation model together with the Department of Electrical and Computer Engineering. This initiative demonstrates Tamkang’s forward-looking strategy in digital transformation and international talent development.
</w:t>
          <w:br/>
          <w:t>The “2026 Most Favored Universities by Employers” survey was conducted in collaboration with TUN University Network, using an online questionnaire distributed to business owners, executives, and HR professionals. According to 1111 Job Bank spokesperson Vivi Huang, the keyword that best represents this year’s rankings is “connectivity.” In addition to AI becoming a key competitive advantage, ESG, semiconductors, and smart long-term care have also emerged as some of the most popular industry keywords.</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6815b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7e3a4f15-d21e-4803-9f74-618b87a0b6c9.jpg"/>
                      <pic:cNvPicPr/>
                    </pic:nvPicPr>
                    <pic:blipFill>
                      <a:blip xmlns:r="http://schemas.openxmlformats.org/officeDocument/2006/relationships" r:embed="R3188041b9aa047d5"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cb894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be2d689f-c6d9-473a-a432-4fd5e0ef8f1e.jpg"/>
                      <pic:cNvPicPr/>
                    </pic:nvPicPr>
                    <pic:blipFill>
                      <a:blip xmlns:r="http://schemas.openxmlformats.org/officeDocument/2006/relationships" r:embed="R38e63cf7175c4e14"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da92c4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7a6448c2-9a96-497e-8127-bc1c776fe09c.jpg"/>
                      <pic:cNvPicPr/>
                    </pic:nvPicPr>
                    <pic:blipFill>
                      <a:blip xmlns:r="http://schemas.openxmlformats.org/officeDocument/2006/relationships" r:embed="R82c1a2c5998e4691"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188041b9aa047d5" /><Relationship Type="http://schemas.openxmlformats.org/officeDocument/2006/relationships/image" Target="/media/image2.bin" Id="R38e63cf7175c4e14" /><Relationship Type="http://schemas.openxmlformats.org/officeDocument/2006/relationships/image" Target="/media/image3.bin" Id="R82c1a2c5998e4691" /></Relationships>
</file>