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d242124aa09468b"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1240 期</w:t>
        </w:r>
      </w:r>
    </w:p>
    <w:p>
      <w:pPr>
        <w:jc w:val="center"/>
      </w:pPr>
      <w:r>
        <w:r>
          <w:rPr>
            <w:rFonts w:ascii="Segoe UI" w:hAnsi="Segoe UI" w:eastAsia="Segoe UI"/>
            <w:sz w:val="32"/>
            <w:color w:val="000000"/>
            <w:b/>
          </w:rPr>
          <w:t>Global Views Monthly 2026 Enterprises’ Favorite University Graduates Survey Released: Tamkang University Again Ranked No. 1 Private University Favored by Listed Companies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Global Views Monthly Magazine (GVM) released the results of its “2026 Survey of Enterprises’ Favorite University Graduates and Interns” on February 24. Tamkang University performed impressively across the 28 sub-rankings, ranking 11th nationwide overall and retaining the top position among private universities in the category “Listed Companies’ Favorite University Graduates.” The University also achieved the highest ranking among private institutions in the sub-rankings of “General Universities in Northern Taiwan,” “Information Technology Industry,” and “Business, Management and Law,” demonstrating strong institutional performance and receiving high recognition from industry.
</w:t>
          <w:br/>
          <w:t>The survey collected 2,353 valid responses, covering listed companies, multinational corporations, small and medium-sized enterprises, and medical institutions. Rankings were analyzed across 28 categories by industry sector, institutional type, and geographic region, providing a comprehensive view of current labor market trends. Amid intense competition among private universities, Tamkang University stood out as the most preferred among the listed companies. Employers generally commend Tamkang graduates for their high reliability, proactive learning attitude, and strong teamwork, enabling them to integrate quickly into the workplace and assume responsibilities, becoming valuable human capital supporting stable corporate development.
</w:t>
          <w:br/>
          <w:t>According to GVM, Tamkang University has adopted the dual strategic visions “AI+SDGs=∞” and “ESG+AI=∞” to guide institutional development. In recent years, the University has actively integrated artificial intelligence into teaching and research while aligning with the United Nations Sustainable Development Goals (SDGs) to cultivate interdisciplinary talent equipped with digital capabilities and sustainability awareness. At the same time, Tamkang has strengthened industry–academia collaboration and internship programs, enhancing students’ practical skills and improving their competitiveness for employment upon graduation. In addition, more than 330,000 alumni worldwide form an extensive professional network across industry, government, and academia, providing valuable support for younger graduates’ career development. The professional achievements and social influence of alumni continue to enhance the University’s reputation and credibility.
</w:t>
          <w:br/>
          <w:t>Global Views Monthly also noted that for high school students preparing to select university programs, the rankings serve not only as an overall reference but also as guidance to consider industry-specific rankings and institutional strengths to identify the most suitable path for their future development. The survey results once again demonstrate strong recognition of Tamkang University among employers. President Huan-Chao Keh has repeatedly emphasized that, in response to rapidly evolving industrial environments, Tamkang University will continue to advance digital transformation and sustainability initiatives, steadily cultivating a new generation of talent for Taiwan who possess both professional expertise and humanistic values.</w:t>
          <w:br/>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d7f0ed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9c83dd5b-321b-49e2-a7ba-139c91400640.jpg"/>
                      <pic:cNvPicPr/>
                    </pic:nvPicPr>
                    <pic:blipFill>
                      <a:blip xmlns:r="http://schemas.openxmlformats.org/officeDocument/2006/relationships" r:embed="R9a213261c644417a" cstate="print">
                        <a:extLst>
                          <a:ext uri="{28A0092B-C50C-407E-A947-70E740481C1C}"/>
                        </a:extLst>
                      </a:blip>
                      <a:stretch>
                        <a:fillRect/>
                      </a:stretch>
                    </pic:blipFill>
                    <pic:spPr>
                      <a:xfrm>
                        <a:off x="0" y="0"/>
                        <a:ext cx="4876800" cy="348081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a213261c644417a" /></Relationships>
</file>