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f467421424ab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本校與證基會簽訂MOU 攜手培育綠領金融人才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因應金融監督管理委員會推動「綠色金融行動方案3.0」及「促進金融科技發展五策略」，金融產業正朝向永續與數位轉型雙軌發展，回應產業對跨域金融人才的需求，本校與證券暨期貨市場發展基金會（以下稱證基會）簽署「證照測驗與金融知識推廣合作備忘錄」，針對金融證照測驗、設立校園考場及永續金融知能推廣展開深度合作。簽約儀式於3月24日上午在守謙國際會議中心舉行，由校長葛煥昭與證基會董事長張振山代表簽署，校內多位一、二級主管，證基會人員出席見證。
</w:t>
          <w:br/>
          <w:t>葛校長致詞指出，當前全球正處於人工智慧（AI）與永續發展（SDGs）兩大浪潮中，兩者在金融領域的影響尤為關鍵。本校以「AI+SDGs=∞」及「AI+ESG=∞」為校務發展願景，以科技應用結合永續思維，培育具備跨領域能力、紮實金融專業與實務證照能力的人才為目標，強調學以致用與產學接軌的重要性。透過此次與證基會合作，整合證照測驗、教材資源與課程教學，讓人才培育接軌產業需求。
</w:t>
          <w:br/>
          <w:t>張振山則以會計系校友身分表達回饋母校之意，指出證基會成立40年來，致力於教育宣導與金融人才培育，與學校使命契合。未來將協助推廣證券、期貨、投信投顧等專業證照，並導入「永續發展基礎能力測驗」等符合產業趨勢的考試，同時規劃於校內設置考場、提供報名費優惠及輔導資源，協助學生降低考照門檻，提升進入金融產業的競爭力。
</w:t>
          <w:br/>
          <w:t>在教學與制度整合方面，商管學院院長楊立人指出，此次合作將原有教師個別推動的考照輔導，提升至院級與校級整合，使證照培育由教師個別的課程實踐，轉為制度化的人才培育機制。學院亦結合校友設立的「成才證照獎助學金」，鼓勵學生在畢業前累積取得六張以上的專業證照，透過制度設計強化學生的就業競爭力，朝「畢業即就業」目標邁進。
</w:t>
          <w:br/>
          <w:t>在實際教學現場，風險管理與保險學系專業教師林呈欣說明，隨著永續金融政策推動與產業需求提升，金融機構對「綠領人才」的需求日益增加，部分金控公司甚至要求一定比例員工須具備相關證照。透過課程與證照輔導的結合，學生不僅能掌握永續金融知識，更能提前接軌國際趨勢與產業政策，拓展職涯視野與方向。
</w:t>
          <w:br/>
          <w:t>本次合作優先推廣之證照有「金融市場常識與職業道德」、「證券商業務員」、「投信投顧業務員」、「期貨商業務員」及「永續發展基礎能力測驗」，將推動金融證照教育與考試輔導進入校園，包含到校辦理證照考試與團體報名服務，讓學生能在熟悉環境中應試，節省交通與時間成本，並提高考照參與度與通過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6e6c054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f8a9feb-baa3-4a62-aa97-401dddcfe300.jpg"/>
                      <pic:cNvPicPr/>
                    </pic:nvPicPr>
                    <pic:blipFill>
                      <a:blip xmlns:r="http://schemas.openxmlformats.org/officeDocument/2006/relationships" r:embed="R62cb86bb73e44c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807d5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d82a7ee-3a32-472a-a4c5-63211d2fe8f7.jpg"/>
                      <pic:cNvPicPr/>
                    </pic:nvPicPr>
                    <pic:blipFill>
                      <a:blip xmlns:r="http://schemas.openxmlformats.org/officeDocument/2006/relationships" r:embed="R08fea641a003476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abea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c4449ef-c6ec-48b0-86c1-714fe4111845.jpg"/>
                      <pic:cNvPicPr/>
                    </pic:nvPicPr>
                    <pic:blipFill>
                      <a:blip xmlns:r="http://schemas.openxmlformats.org/officeDocument/2006/relationships" r:embed="R048489499f9a44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133600"/>
              <wp:effectExtent l="0" t="0" r="0" b="0"/>
              <wp:docPr id="1" name="IMG_168c7c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c993f2c-b257-43a0-8086-14a2e3b07793.jpg"/>
                      <pic:cNvPicPr/>
                    </pic:nvPicPr>
                    <pic:blipFill>
                      <a:blip xmlns:r="http://schemas.openxmlformats.org/officeDocument/2006/relationships" r:embed="Re17b566d0bfe44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13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2cb86bb73e44ccf" /><Relationship Type="http://schemas.openxmlformats.org/officeDocument/2006/relationships/image" Target="/media/image2.bin" Id="R08fea641a003476a" /><Relationship Type="http://schemas.openxmlformats.org/officeDocument/2006/relationships/image" Target="/media/image3.bin" Id="R048489499f9a44d1" /><Relationship Type="http://schemas.openxmlformats.org/officeDocument/2006/relationships/image" Target="/media/image4.bin" Id="Re17b566d0bfe44ab" /></Relationships>
</file>